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64" w:rsidRPr="002F2BB7" w:rsidRDefault="00DE413A" w:rsidP="00C77E64">
      <w:pPr>
        <w:autoSpaceDE w:val="0"/>
        <w:autoSpaceDN w:val="0"/>
        <w:adjustRightInd w:val="0"/>
        <w:ind w:firstLine="708"/>
        <w:rPr>
          <w:rFonts w:ascii="Calibri" w:hAnsi="Calibri"/>
          <w:i/>
          <w:sz w:val="22"/>
          <w:szCs w:val="22"/>
        </w:rPr>
      </w:pPr>
      <w:r>
        <w:tab/>
      </w:r>
      <w:r>
        <w:tab/>
      </w:r>
      <w:r>
        <w:tab/>
      </w:r>
      <w:r>
        <w:tab/>
      </w:r>
      <w:r>
        <w:tab/>
      </w:r>
      <w:r>
        <w:tab/>
      </w:r>
      <w:r w:rsidR="00C77E64" w:rsidRPr="002F2BB7">
        <w:rPr>
          <w:rFonts w:ascii="Calibri" w:hAnsi="Calibri"/>
          <w:i/>
          <w:sz w:val="22"/>
          <w:szCs w:val="22"/>
        </w:rPr>
        <w:t>Érase una vez un</w:t>
      </w:r>
    </w:p>
    <w:p w:rsidR="00C77E64" w:rsidRPr="002F2BB7" w:rsidRDefault="00C77E64" w:rsidP="00C77E64">
      <w:pPr>
        <w:autoSpaceDE w:val="0"/>
        <w:autoSpaceDN w:val="0"/>
        <w:adjustRightInd w:val="0"/>
        <w:ind w:firstLine="708"/>
        <w:rPr>
          <w:rFonts w:ascii="Calibri" w:hAnsi="Calibri"/>
          <w:i/>
          <w:sz w:val="22"/>
          <w:szCs w:val="22"/>
        </w:rPr>
      </w:pP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proofErr w:type="gramStart"/>
      <w:r w:rsidRPr="002F2BB7">
        <w:rPr>
          <w:rFonts w:ascii="Calibri" w:hAnsi="Calibri"/>
          <w:i/>
          <w:sz w:val="22"/>
          <w:szCs w:val="22"/>
        </w:rPr>
        <w:t>lobito</w:t>
      </w:r>
      <w:proofErr w:type="gramEnd"/>
      <w:r w:rsidRPr="002F2BB7">
        <w:rPr>
          <w:rFonts w:ascii="Calibri" w:hAnsi="Calibri"/>
          <w:i/>
          <w:sz w:val="22"/>
          <w:szCs w:val="22"/>
        </w:rPr>
        <w:t xml:space="preserve"> bueno</w:t>
      </w:r>
    </w:p>
    <w:p w:rsidR="00EA0E1D" w:rsidRPr="002F2BB7" w:rsidRDefault="00DE413A" w:rsidP="00C77E64">
      <w:pPr>
        <w:autoSpaceDE w:val="0"/>
        <w:autoSpaceDN w:val="0"/>
        <w:adjustRightInd w:val="0"/>
        <w:ind w:firstLine="708"/>
        <w:rPr>
          <w:rFonts w:ascii="Calibri" w:hAnsi="Calibri"/>
          <w:i/>
          <w:sz w:val="22"/>
          <w:szCs w:val="22"/>
        </w:rPr>
      </w:pP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proofErr w:type="gramStart"/>
      <w:r w:rsidR="00EA0E1D" w:rsidRPr="002F2BB7">
        <w:rPr>
          <w:rFonts w:ascii="Calibri" w:hAnsi="Calibri"/>
          <w:i/>
          <w:sz w:val="22"/>
          <w:szCs w:val="22"/>
        </w:rPr>
        <w:t>al</w:t>
      </w:r>
      <w:proofErr w:type="gramEnd"/>
      <w:r w:rsidR="00EA0E1D" w:rsidRPr="002F2BB7">
        <w:rPr>
          <w:rFonts w:ascii="Calibri" w:hAnsi="Calibri"/>
          <w:i/>
          <w:sz w:val="22"/>
          <w:szCs w:val="22"/>
        </w:rPr>
        <w:t xml:space="preserve"> que maltrataban</w:t>
      </w:r>
    </w:p>
    <w:p w:rsidR="00EA0E1D" w:rsidRPr="002F2BB7" w:rsidRDefault="00DE413A" w:rsidP="00C77E64">
      <w:pPr>
        <w:autoSpaceDE w:val="0"/>
        <w:autoSpaceDN w:val="0"/>
        <w:adjustRightInd w:val="0"/>
        <w:ind w:firstLine="708"/>
        <w:rPr>
          <w:rFonts w:ascii="Calibri" w:hAnsi="Calibri"/>
          <w:i/>
          <w:sz w:val="22"/>
          <w:szCs w:val="22"/>
        </w:rPr>
      </w:pP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proofErr w:type="gramStart"/>
      <w:r w:rsidR="00EA0E1D" w:rsidRPr="002F2BB7">
        <w:rPr>
          <w:rFonts w:ascii="Calibri" w:hAnsi="Calibri"/>
          <w:i/>
          <w:sz w:val="22"/>
          <w:szCs w:val="22"/>
        </w:rPr>
        <w:t>todos</w:t>
      </w:r>
      <w:proofErr w:type="gramEnd"/>
      <w:r w:rsidR="00EA0E1D" w:rsidRPr="002F2BB7">
        <w:rPr>
          <w:rFonts w:ascii="Calibri" w:hAnsi="Calibri"/>
          <w:i/>
          <w:sz w:val="22"/>
          <w:szCs w:val="22"/>
        </w:rPr>
        <w:t xml:space="preserve"> los corderos</w:t>
      </w:r>
    </w:p>
    <w:p w:rsidR="00EA0E1D" w:rsidRPr="002F2BB7" w:rsidRDefault="00DE413A" w:rsidP="00C77E64">
      <w:pPr>
        <w:autoSpaceDE w:val="0"/>
        <w:autoSpaceDN w:val="0"/>
        <w:adjustRightInd w:val="0"/>
        <w:ind w:firstLine="708"/>
        <w:rPr>
          <w:sz w:val="22"/>
          <w:szCs w:val="22"/>
        </w:rPr>
      </w:pP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Pr="002F2BB7">
        <w:rPr>
          <w:rFonts w:ascii="Calibri" w:hAnsi="Calibri"/>
          <w:i/>
          <w:sz w:val="22"/>
          <w:szCs w:val="22"/>
        </w:rPr>
        <w:tab/>
      </w:r>
      <w:r w:rsidR="00EA0E1D" w:rsidRPr="002F2BB7">
        <w:rPr>
          <w:rFonts w:ascii="Calibri" w:hAnsi="Calibri"/>
          <w:i/>
          <w:sz w:val="22"/>
          <w:szCs w:val="22"/>
        </w:rPr>
        <w:t>José Agustín Go</w:t>
      </w:r>
      <w:r w:rsidRPr="002F2BB7">
        <w:rPr>
          <w:rFonts w:ascii="Calibri" w:hAnsi="Calibri"/>
          <w:i/>
          <w:sz w:val="22"/>
          <w:szCs w:val="22"/>
        </w:rPr>
        <w:t>ytisolo</w:t>
      </w:r>
      <w:r w:rsidR="00EA0E1D" w:rsidRPr="002F2BB7">
        <w:rPr>
          <w:sz w:val="22"/>
          <w:szCs w:val="22"/>
        </w:rPr>
        <w:tab/>
      </w:r>
    </w:p>
    <w:p w:rsidR="00C77E64" w:rsidRPr="002F2BB7" w:rsidRDefault="00C77E64" w:rsidP="00C77E64">
      <w:pPr>
        <w:autoSpaceDE w:val="0"/>
        <w:autoSpaceDN w:val="0"/>
        <w:adjustRightInd w:val="0"/>
        <w:ind w:firstLine="708"/>
        <w:rPr>
          <w:sz w:val="22"/>
          <w:szCs w:val="22"/>
        </w:rPr>
      </w:pPr>
      <w:r w:rsidRPr="002F2BB7">
        <w:rPr>
          <w:sz w:val="22"/>
          <w:szCs w:val="22"/>
        </w:rPr>
        <w:tab/>
      </w:r>
      <w:r w:rsidRPr="002F2BB7">
        <w:rPr>
          <w:sz w:val="22"/>
          <w:szCs w:val="22"/>
        </w:rPr>
        <w:tab/>
      </w:r>
      <w:r w:rsidRPr="002F2BB7">
        <w:rPr>
          <w:sz w:val="22"/>
          <w:szCs w:val="22"/>
        </w:rPr>
        <w:tab/>
      </w:r>
      <w:r w:rsidRPr="002F2BB7">
        <w:rPr>
          <w:sz w:val="22"/>
          <w:szCs w:val="22"/>
        </w:rPr>
        <w:tab/>
      </w:r>
      <w:r w:rsidRPr="002F2BB7">
        <w:rPr>
          <w:sz w:val="22"/>
          <w:szCs w:val="22"/>
        </w:rPr>
        <w:tab/>
      </w:r>
      <w:r w:rsidR="00EA0E1D" w:rsidRPr="002F2BB7">
        <w:rPr>
          <w:sz w:val="22"/>
          <w:szCs w:val="22"/>
        </w:rPr>
        <w:t xml:space="preserve"> </w:t>
      </w:r>
    </w:p>
    <w:p w:rsidR="00525526" w:rsidRDefault="00525526" w:rsidP="00B86684">
      <w:pPr>
        <w:autoSpaceDE w:val="0"/>
        <w:autoSpaceDN w:val="0"/>
        <w:adjustRightInd w:val="0"/>
        <w:ind w:firstLine="708"/>
        <w:jc w:val="both"/>
      </w:pPr>
    </w:p>
    <w:p w:rsidR="00525526" w:rsidRDefault="00525526" w:rsidP="00B86684">
      <w:pPr>
        <w:autoSpaceDE w:val="0"/>
        <w:autoSpaceDN w:val="0"/>
        <w:adjustRightInd w:val="0"/>
        <w:ind w:firstLine="708"/>
        <w:jc w:val="both"/>
      </w:pPr>
    </w:p>
    <w:p w:rsidR="00525526" w:rsidRPr="003E295B" w:rsidRDefault="00CD26AA" w:rsidP="00AD0322">
      <w:pPr>
        <w:autoSpaceDE w:val="0"/>
        <w:autoSpaceDN w:val="0"/>
        <w:adjustRightInd w:val="0"/>
        <w:jc w:val="both"/>
        <w:rPr>
          <w:b/>
        </w:rPr>
      </w:pPr>
      <w:r>
        <w:t xml:space="preserve"> </w:t>
      </w:r>
      <w:r w:rsidR="002D4E95" w:rsidRPr="003E295B">
        <w:rPr>
          <w:b/>
        </w:rPr>
        <w:t xml:space="preserve">EL </w:t>
      </w:r>
      <w:r w:rsidR="00382CDB">
        <w:rPr>
          <w:b/>
        </w:rPr>
        <w:t>¿</w:t>
      </w:r>
      <w:r w:rsidR="002D4E95" w:rsidRPr="003E295B">
        <w:rPr>
          <w:b/>
        </w:rPr>
        <w:t>SÍNDROME DE ALIENAC</w:t>
      </w:r>
      <w:r w:rsidR="00E624D8" w:rsidRPr="003E295B">
        <w:rPr>
          <w:b/>
        </w:rPr>
        <w:t>IÓN PARENTA</w:t>
      </w:r>
      <w:r w:rsidR="006A0D68" w:rsidRPr="003E295B">
        <w:rPr>
          <w:b/>
        </w:rPr>
        <w:t>L</w:t>
      </w:r>
      <w:r w:rsidR="00382CDB">
        <w:rPr>
          <w:b/>
        </w:rPr>
        <w:t>?</w:t>
      </w:r>
      <w:r w:rsidR="002D4E95" w:rsidRPr="003E295B">
        <w:rPr>
          <w:b/>
        </w:rPr>
        <w:t>: UN MUNDO AL REVÉS</w:t>
      </w:r>
    </w:p>
    <w:p w:rsidR="00525526" w:rsidRPr="00120386" w:rsidRDefault="008E49B0" w:rsidP="00DB39EF">
      <w:pPr>
        <w:autoSpaceDE w:val="0"/>
        <w:autoSpaceDN w:val="0"/>
        <w:adjustRightInd w:val="0"/>
        <w:ind w:left="4248" w:firstLine="708"/>
        <w:jc w:val="both"/>
        <w:rPr>
          <w:i/>
          <w:sz w:val="20"/>
          <w:szCs w:val="20"/>
        </w:rPr>
      </w:pPr>
      <w:r w:rsidRPr="00120386">
        <w:rPr>
          <w:i/>
          <w:sz w:val="20"/>
          <w:szCs w:val="20"/>
        </w:rPr>
        <w:t xml:space="preserve">Manuel Lopo Lago Psicólogo clínico </w:t>
      </w:r>
      <w:r w:rsidR="00837823" w:rsidRPr="00120386">
        <w:rPr>
          <w:i/>
          <w:sz w:val="20"/>
          <w:szCs w:val="20"/>
        </w:rPr>
        <w:tab/>
      </w:r>
      <w:r w:rsidR="00837823" w:rsidRPr="00120386">
        <w:rPr>
          <w:i/>
          <w:sz w:val="20"/>
          <w:szCs w:val="20"/>
        </w:rPr>
        <w:tab/>
      </w:r>
      <w:r w:rsidR="008040A0" w:rsidRPr="00120386">
        <w:rPr>
          <w:i/>
          <w:sz w:val="20"/>
          <w:szCs w:val="20"/>
        </w:rPr>
        <w:t>Supervisor en T</w:t>
      </w:r>
      <w:r w:rsidRPr="00120386">
        <w:rPr>
          <w:i/>
          <w:sz w:val="20"/>
          <w:szCs w:val="20"/>
        </w:rPr>
        <w:t>erapia Familiar Sistémica</w:t>
      </w:r>
    </w:p>
    <w:p w:rsidR="00525526" w:rsidRDefault="00525526" w:rsidP="00B86684">
      <w:pPr>
        <w:autoSpaceDE w:val="0"/>
        <w:autoSpaceDN w:val="0"/>
        <w:adjustRightInd w:val="0"/>
        <w:ind w:firstLine="708"/>
        <w:jc w:val="both"/>
      </w:pPr>
    </w:p>
    <w:p w:rsidR="00525526" w:rsidRDefault="00525526" w:rsidP="00B86684">
      <w:pPr>
        <w:autoSpaceDE w:val="0"/>
        <w:autoSpaceDN w:val="0"/>
        <w:adjustRightInd w:val="0"/>
        <w:ind w:firstLine="708"/>
        <w:jc w:val="both"/>
      </w:pPr>
    </w:p>
    <w:p w:rsidR="00BE7387" w:rsidRPr="002E51B5" w:rsidRDefault="00026D44" w:rsidP="00B86684">
      <w:pPr>
        <w:autoSpaceDE w:val="0"/>
        <w:autoSpaceDN w:val="0"/>
        <w:adjustRightInd w:val="0"/>
        <w:ind w:firstLine="708"/>
        <w:jc w:val="both"/>
        <w:rPr>
          <w:rFonts w:eastAsiaTheme="minorHAnsi"/>
          <w:color w:val="292526"/>
          <w:lang w:eastAsia="en-US"/>
        </w:rPr>
      </w:pPr>
      <w:r>
        <w:t xml:space="preserve">El término </w:t>
      </w:r>
      <w:r w:rsidR="0023395F">
        <w:t xml:space="preserve"> síndrome de alienación parental (</w:t>
      </w:r>
      <w:proofErr w:type="spellStart"/>
      <w:r w:rsidR="00E75E99">
        <w:t>sap</w:t>
      </w:r>
      <w:proofErr w:type="spellEnd"/>
      <w:r w:rsidR="0023395F">
        <w:t>)</w:t>
      </w:r>
      <w:r w:rsidR="00726A6C">
        <w:t xml:space="preserve"> es utilizado por primera vez en 1985 por Richar</w:t>
      </w:r>
      <w:r w:rsidR="0023395F">
        <w:t>d Gardner, médico</w:t>
      </w:r>
      <w:r w:rsidR="008B4E2C">
        <w:t xml:space="preserve"> </w:t>
      </w:r>
      <w:r w:rsidR="0023395F">
        <w:t>estadounidense</w:t>
      </w:r>
      <w:r w:rsidR="00726A6C">
        <w:t>, cuando en calidad de perito judicial elaboró un informe en un caso de litigio judicial por la custodia de los hijos. A partir de ese momento comenzó a ser utilizado en casos de divorcios litigiosos en los que había denuncias</w:t>
      </w:r>
      <w:r w:rsidR="00726A6C" w:rsidRPr="00CC7418">
        <w:t xml:space="preserve"> de incesto</w:t>
      </w:r>
      <w:r w:rsidR="00726A6C">
        <w:t xml:space="preserve"> y/o abusos sexuales </w:t>
      </w:r>
      <w:r w:rsidR="00726A6C" w:rsidRPr="00CC7418">
        <w:t>hacia uno de los progenitores</w:t>
      </w:r>
      <w:r w:rsidR="00E5053A">
        <w:t xml:space="preserve"> (habitualmente el padre). </w:t>
      </w:r>
      <w:r w:rsidR="00726A6C">
        <w:t>Se produce el hecho en un co</w:t>
      </w:r>
      <w:r w:rsidR="008B4E2C">
        <w:t>ntexto social, EEUU</w:t>
      </w:r>
      <w:r w:rsidR="00726A6C">
        <w:t>, en el que el incesto y los abusos sexuales a niños/as en el seno familiar empezaban a ser denunciados, nombrados y por lo tanto se hacían visibles en una sociedad que hasta ese momento se limitaba a mirar hacia otro lado.</w:t>
      </w:r>
      <w:r w:rsidR="000E1DF8">
        <w:t xml:space="preserve"> </w:t>
      </w:r>
      <w:r w:rsidR="00525526">
        <w:t>Su utilización</w:t>
      </w:r>
      <w:r w:rsidR="00BE7387">
        <w:t xml:space="preserve"> en España,</w:t>
      </w:r>
      <w:r w:rsidR="00E054BA">
        <w:t xml:space="preserve"> al igual que</w:t>
      </w:r>
      <w:r w:rsidR="00EB28C0">
        <w:t xml:space="preserve"> había pasado</w:t>
      </w:r>
      <w:r w:rsidR="00E054BA">
        <w:t xml:space="preserve"> en EEUU, coincide con la promulgación de la Ley de Custodia Compartida (Ley 15/2015)</w:t>
      </w:r>
      <w:r>
        <w:t xml:space="preserve">. De hecho el primer libro sobre el </w:t>
      </w:r>
      <w:proofErr w:type="spellStart"/>
      <w:r>
        <w:t>sap</w:t>
      </w:r>
      <w:proofErr w:type="spellEnd"/>
      <w:r>
        <w:t xml:space="preserve"> en nuestro país se publica cuando la Ley está en proceso de discusión, negociación y aprobación</w:t>
      </w:r>
      <w:r w:rsidR="002D7F48">
        <w:t xml:space="preserve"> (Aguilar, 2004)</w:t>
      </w:r>
      <w:r w:rsidR="00EB28C0">
        <w:t>.</w:t>
      </w:r>
    </w:p>
    <w:p w:rsidR="00726A6C" w:rsidRDefault="00726A6C" w:rsidP="006A29D6">
      <w:pPr>
        <w:autoSpaceDE w:val="0"/>
        <w:autoSpaceDN w:val="0"/>
        <w:adjustRightInd w:val="0"/>
      </w:pPr>
    </w:p>
    <w:p w:rsidR="007E5CD9" w:rsidRDefault="00726A6C" w:rsidP="00D21359">
      <w:pPr>
        <w:ind w:firstLine="708"/>
        <w:jc w:val="both"/>
      </w:pPr>
      <w:r>
        <w:rPr>
          <w:i/>
        </w:rPr>
        <w:t>“</w:t>
      </w:r>
      <w:r w:rsidRPr="00A6293A">
        <w:rPr>
          <w:i/>
        </w:rPr>
        <w:t xml:space="preserve">El síndrome de alienación parental (SAP) es un </w:t>
      </w:r>
      <w:r w:rsidR="00727191">
        <w:rPr>
          <w:i/>
        </w:rPr>
        <w:t>tra</w:t>
      </w:r>
      <w:r w:rsidRPr="00A6293A">
        <w:rPr>
          <w:i/>
        </w:rPr>
        <w:t>storno infantil que surge casi exclusivamente en el contexto de disputas por la custodia de niños. Su manifestación primaria  es la campaña de denigración de un niño contra un padre, una campaña que no tiene justificación. Ello resulta de la c</w:t>
      </w:r>
      <w:r>
        <w:rPr>
          <w:i/>
        </w:rPr>
        <w:t xml:space="preserve">ombinación de una programación </w:t>
      </w:r>
      <w:r w:rsidRPr="00A6293A">
        <w:rPr>
          <w:i/>
        </w:rPr>
        <w:t xml:space="preserve"> </w:t>
      </w:r>
      <w:r>
        <w:rPr>
          <w:i/>
        </w:rPr>
        <w:t>(</w:t>
      </w:r>
      <w:r w:rsidRPr="00A6293A">
        <w:rPr>
          <w:i/>
        </w:rPr>
        <w:t>lavado de cerebro) de adoctrinamiento parental y de las propias contribuciones del niño para el vilipendio del padre objetivo. Cuando un maltrato/abuso sexual está presenten la animosidad puede estar justificada y así la explicación del SAP para la hostilidad del niño no es aplicable”</w:t>
      </w:r>
      <w:r w:rsidR="00B90A12">
        <w:rPr>
          <w:i/>
        </w:rPr>
        <w:t xml:space="preserve"> </w:t>
      </w:r>
      <w:r w:rsidR="00B90A12" w:rsidRPr="00B90A12">
        <w:t>(Gardner, 1991</w:t>
      </w:r>
      <w:r w:rsidR="003C64BF">
        <w:t xml:space="preserve"> en AEN, 2008</w:t>
      </w:r>
      <w:r w:rsidR="00B90A12" w:rsidRPr="00B90A12">
        <w:t>)</w:t>
      </w:r>
      <w:r>
        <w:rPr>
          <w:i/>
        </w:rPr>
        <w:t xml:space="preserve">. </w:t>
      </w:r>
      <w:r>
        <w:t>De esta manera lo ha definido Gardner con pequeñas variaciones a lo largo de su extensa bibliografía. En su primera definición la alienadora era siempre la madre, solo más tarde a raíz de las críticas que recibe desde sectores feministas</w:t>
      </w:r>
      <w:r w:rsidR="00982321">
        <w:t xml:space="preserve"> de la sociedad</w:t>
      </w:r>
      <w:r>
        <w:t xml:space="preserve"> aparece </w:t>
      </w:r>
      <w:r w:rsidR="00727191">
        <w:t xml:space="preserve">también </w:t>
      </w:r>
      <w:r>
        <w:t>el padre como p</w:t>
      </w:r>
      <w:r w:rsidR="00C40FDC">
        <w:t>osible alienador y finalmente</w:t>
      </w:r>
      <w:r w:rsidR="00E8476C">
        <w:t xml:space="preserve"> en 1991 ante las críticas de</w:t>
      </w:r>
      <w:r w:rsidR="00225DF3">
        <w:t xml:space="preserve"> asociaciones feministas y de defensa de los menores,</w:t>
      </w:r>
      <w:r>
        <w:t xml:space="preserve"> incorpora que en casos de maltrato, abuso o negligencia puede estar justificado el “rechazo”.</w:t>
      </w:r>
      <w:r w:rsidR="00D214B9">
        <w:t xml:space="preserve"> </w:t>
      </w:r>
    </w:p>
    <w:p w:rsidR="007E5CD9" w:rsidRDefault="007E5CD9" w:rsidP="00726A6C">
      <w:pPr>
        <w:jc w:val="both"/>
      </w:pPr>
    </w:p>
    <w:p w:rsidR="00726A6C" w:rsidRDefault="00BD6D01" w:rsidP="007E5CD9">
      <w:pPr>
        <w:ind w:firstLine="708"/>
        <w:jc w:val="both"/>
      </w:pPr>
      <w:r>
        <w:t>A este último párrafo de la definición de Gardner</w:t>
      </w:r>
      <w:r w:rsidR="00C718B4">
        <w:t xml:space="preserve"> se le ha llamado clá</w:t>
      </w:r>
      <w:r w:rsidR="00754DAD">
        <w:t>usula de ex</w:t>
      </w:r>
      <w:r w:rsidR="00A55226">
        <w:t>enció</w:t>
      </w:r>
      <w:r w:rsidR="00EB193E">
        <w:t>n</w:t>
      </w:r>
      <w:r w:rsidR="00A55226">
        <w:t xml:space="preserve"> y sus posibles</w:t>
      </w:r>
      <w:r w:rsidR="00754DAD">
        <w:t xml:space="preserve"> efecto</w:t>
      </w:r>
      <w:r w:rsidR="00A55226">
        <w:t>s</w:t>
      </w:r>
      <w:r w:rsidR="00754DAD">
        <w:t xml:space="preserve"> </w:t>
      </w:r>
      <w:r w:rsidR="0054150F">
        <w:t xml:space="preserve">en cuanto a la anulación del diagnóstico del supuesto síndrome </w:t>
      </w:r>
      <w:r w:rsidR="00754DAD">
        <w:t>queda</w:t>
      </w:r>
      <w:r w:rsidR="00A55226">
        <w:t>n</w:t>
      </w:r>
      <w:r w:rsidR="00754DAD">
        <w:t xml:space="preserve"> descalificado</w:t>
      </w:r>
      <w:r w:rsidR="00EB193E">
        <w:t>s</w:t>
      </w:r>
      <w:r w:rsidR="00D832A1">
        <w:t xml:space="preserve"> con las acusaciones</w:t>
      </w:r>
      <w:r w:rsidR="00A44035">
        <w:t xml:space="preserve"> </w:t>
      </w:r>
      <w:r w:rsidR="001F59C3">
        <w:t xml:space="preserve">de falsedad </w:t>
      </w:r>
      <w:r w:rsidR="00A44035">
        <w:t xml:space="preserve">a las madres que </w:t>
      </w:r>
      <w:r w:rsidR="00EB193E">
        <w:t xml:space="preserve">presentan denuncias contra sus </w:t>
      </w:r>
      <w:proofErr w:type="spellStart"/>
      <w:r w:rsidR="00FE7983">
        <w:t>ex</w:t>
      </w:r>
      <w:r w:rsidR="00EB193E">
        <w:t>parejas</w:t>
      </w:r>
      <w:proofErr w:type="spellEnd"/>
      <w:r w:rsidR="00EB193E">
        <w:t xml:space="preserve"> por malos t</w:t>
      </w:r>
      <w:r w:rsidR="00485D72">
        <w:t>r</w:t>
      </w:r>
      <w:r w:rsidR="00EB193E">
        <w:t>atos o por</w:t>
      </w:r>
      <w:r w:rsidR="001F59C3">
        <w:t xml:space="preserve"> abusos sexuales sobre</w:t>
      </w:r>
      <w:r w:rsidR="00A44035">
        <w:t xml:space="preserve"> sus hij</w:t>
      </w:r>
      <w:r w:rsidR="00516816">
        <w:t>os</w:t>
      </w:r>
      <w:r w:rsidR="00E06A1E">
        <w:t>/a</w:t>
      </w:r>
      <w:r w:rsidR="001F59C3">
        <w:t>s.</w:t>
      </w:r>
      <w:r>
        <w:t xml:space="preserve"> </w:t>
      </w:r>
    </w:p>
    <w:p w:rsidR="00465E42" w:rsidRDefault="00465E42" w:rsidP="00243A6B">
      <w:pPr>
        <w:jc w:val="both"/>
        <w:rPr>
          <w:i/>
        </w:rPr>
      </w:pPr>
    </w:p>
    <w:p w:rsidR="00465E42" w:rsidRPr="00465E42" w:rsidRDefault="00465E42" w:rsidP="00243A6B">
      <w:pPr>
        <w:jc w:val="both"/>
      </w:pPr>
      <w:r>
        <w:t>HECHA LA LEY, HECHA LA</w:t>
      </w:r>
      <w:r w:rsidR="00485D72">
        <w:t xml:space="preserve"> </w:t>
      </w:r>
      <w:r w:rsidR="007A5596">
        <w:t xml:space="preserve"> </w:t>
      </w:r>
      <w:r>
        <w:t>TRAMPA</w:t>
      </w:r>
    </w:p>
    <w:p w:rsidR="00465E42" w:rsidRPr="00C718B4" w:rsidRDefault="00465E42" w:rsidP="00243A6B">
      <w:pPr>
        <w:jc w:val="both"/>
      </w:pPr>
    </w:p>
    <w:p w:rsidR="001143DF" w:rsidRPr="007E5CD9" w:rsidRDefault="002A33BC" w:rsidP="00243A6B">
      <w:pPr>
        <w:jc w:val="both"/>
        <w:rPr>
          <w:i/>
        </w:rPr>
      </w:pPr>
      <w:r w:rsidRPr="00E858A4">
        <w:rPr>
          <w:i/>
        </w:rPr>
        <w:tab/>
      </w:r>
      <w:r w:rsidR="00E06A1E">
        <w:t xml:space="preserve">Ya </w:t>
      </w:r>
      <w:r w:rsidR="003833BE">
        <w:t>el libro anteriorment</w:t>
      </w:r>
      <w:r w:rsidR="00E5053A">
        <w:t>e citado de Aguilar</w:t>
      </w:r>
      <w:r w:rsidR="000D3561">
        <w:t xml:space="preserve"> (pág.55)</w:t>
      </w:r>
      <w:r w:rsidR="00E5053A">
        <w:t xml:space="preserve"> </w:t>
      </w:r>
      <w:r w:rsidR="00E858A4">
        <w:t>nos dice</w:t>
      </w:r>
      <w:r w:rsidR="003833BE">
        <w:t>:</w:t>
      </w:r>
      <w:r w:rsidR="00E858A4">
        <w:t xml:space="preserve"> </w:t>
      </w:r>
      <w:r w:rsidR="00E858A4" w:rsidRPr="00E858A4">
        <w:rPr>
          <w:i/>
        </w:rPr>
        <w:t>“Los profesionales</w:t>
      </w:r>
      <w:r w:rsidR="00550ABC">
        <w:rPr>
          <w:i/>
        </w:rPr>
        <w:t xml:space="preserve"> que llevamos a cabo nuestro trabajo en los juzgados conocemos</w:t>
      </w:r>
      <w:r w:rsidR="00717E3F">
        <w:rPr>
          <w:i/>
        </w:rPr>
        <w:t xml:space="preserve"> </w:t>
      </w:r>
      <w:r w:rsidR="00550ABC">
        <w:rPr>
          <w:i/>
        </w:rPr>
        <w:t xml:space="preserve">que las </w:t>
      </w:r>
      <w:r w:rsidR="00550ABC">
        <w:rPr>
          <w:i/>
        </w:rPr>
        <w:lastRenderedPageBreak/>
        <w:t>falsas denuncias por abusos sexuales son una estrategia común para lograr interferir</w:t>
      </w:r>
      <w:r w:rsidR="007A5596">
        <w:rPr>
          <w:i/>
        </w:rPr>
        <w:t xml:space="preserve"> o</w:t>
      </w:r>
      <w:r w:rsidR="00717E3F">
        <w:rPr>
          <w:i/>
        </w:rPr>
        <w:t xml:space="preserve"> </w:t>
      </w:r>
      <w:r w:rsidR="00DC46EF">
        <w:rPr>
          <w:i/>
        </w:rPr>
        <w:t xml:space="preserve">lograr una posición de ventaja en litigios en los que se </w:t>
      </w:r>
      <w:r w:rsidR="00717E3F">
        <w:rPr>
          <w:i/>
        </w:rPr>
        <w:t>está</w:t>
      </w:r>
      <w:r w:rsidR="00DC46EF">
        <w:rPr>
          <w:i/>
        </w:rPr>
        <w:t>n tratando temas relacionados</w:t>
      </w:r>
      <w:r w:rsidR="00717E3F">
        <w:rPr>
          <w:i/>
        </w:rPr>
        <w:t xml:space="preserve"> </w:t>
      </w:r>
      <w:r w:rsidR="00DC46EF">
        <w:rPr>
          <w:i/>
        </w:rPr>
        <w:t>con la</w:t>
      </w:r>
      <w:r w:rsidR="00717E3F">
        <w:rPr>
          <w:i/>
        </w:rPr>
        <w:t xml:space="preserve"> separación y el divorcio de un</w:t>
      </w:r>
      <w:r w:rsidR="00DC46EF">
        <w:rPr>
          <w:i/>
        </w:rPr>
        <w:t>a</w:t>
      </w:r>
      <w:r w:rsidR="00717E3F">
        <w:rPr>
          <w:i/>
        </w:rPr>
        <w:t xml:space="preserve"> </w:t>
      </w:r>
      <w:r w:rsidR="00DC46EF">
        <w:rPr>
          <w:i/>
        </w:rPr>
        <w:t>pareja</w:t>
      </w:r>
      <w:r w:rsidR="00027417">
        <w:rPr>
          <w:i/>
        </w:rPr>
        <w:t>”</w:t>
      </w:r>
      <w:r w:rsidR="004F0F40">
        <w:rPr>
          <w:i/>
        </w:rPr>
        <w:t xml:space="preserve"> </w:t>
      </w:r>
      <w:r w:rsidR="004F0F40">
        <w:t xml:space="preserve">y en la misma obra </w:t>
      </w:r>
      <w:r w:rsidR="004F0F40">
        <w:rPr>
          <w:i/>
        </w:rPr>
        <w:t>“Los datos que en los últimos años se están ofreciendo</w:t>
      </w:r>
      <w:r w:rsidR="004F469B">
        <w:rPr>
          <w:i/>
        </w:rPr>
        <w:t xml:space="preserve"> acerca del incremento espectacular de las falsas denuncias de abusos sexuales a menores, dentro del contexto de una disputa marital, tanto en relación con la guarda y custodia</w:t>
      </w:r>
      <w:r w:rsidR="00F16721">
        <w:rPr>
          <w:i/>
        </w:rPr>
        <w:t xml:space="preserve"> de los niños como con los problemas patrimoniales, consideran que estas se encuentran por encima del 60%”</w:t>
      </w:r>
      <w:r w:rsidR="000D3561">
        <w:rPr>
          <w:i/>
        </w:rPr>
        <w:t xml:space="preserve"> </w:t>
      </w:r>
      <w:r w:rsidR="000D3561" w:rsidRPr="000D3561">
        <w:t>(pág. 39)</w:t>
      </w:r>
      <w:r w:rsidR="00FF50E2">
        <w:rPr>
          <w:i/>
        </w:rPr>
        <w:t>.</w:t>
      </w:r>
      <w:r w:rsidR="00FF50E2">
        <w:t xml:space="preserve"> </w:t>
      </w:r>
      <w:r w:rsidR="006226E6">
        <w:t>T</w:t>
      </w:r>
      <w:r w:rsidR="00223D1C">
        <w:t>odo ello lo hace</w:t>
      </w:r>
      <w:r w:rsidR="00FF50E2">
        <w:t xml:space="preserve"> sin citar</w:t>
      </w:r>
      <w:r w:rsidR="00223D1C">
        <w:t xml:space="preserve"> a lo largo de su libro </w:t>
      </w:r>
      <w:r w:rsidR="00FF50E2">
        <w:t xml:space="preserve"> ni un solo dato estadístico elaborado </w:t>
      </w:r>
      <w:r w:rsidR="00DD67A8">
        <w:t>por instancia p</w:t>
      </w:r>
      <w:r w:rsidR="00443A21">
        <w:t xml:space="preserve">ública o privada que </w:t>
      </w:r>
      <w:r w:rsidR="00DD67A8">
        <w:t>haya investig</w:t>
      </w:r>
      <w:r w:rsidR="00443A21">
        <w:t>ado sobre el tema</w:t>
      </w:r>
      <w:r w:rsidR="00DD67A8">
        <w:t xml:space="preserve">. </w:t>
      </w:r>
      <w:r w:rsidR="003048B7">
        <w:t>Parece grave que con una opinión no fundamen</w:t>
      </w:r>
      <w:r w:rsidR="00274577">
        <w:t>tada en</w:t>
      </w:r>
      <w:r w:rsidR="00B0576A">
        <w:t xml:space="preserve"> datos se puedan recomendar a lo</w:t>
      </w:r>
      <w:r w:rsidR="006226E6">
        <w:t>s</w:t>
      </w:r>
      <w:r w:rsidR="00B0576A">
        <w:t>/a</w:t>
      </w:r>
      <w:r w:rsidR="00274577">
        <w:t>s jueces</w:t>
      </w:r>
      <w:r w:rsidR="003048B7">
        <w:t xml:space="preserve"> tomar decisiones sobre la vida de los menores</w:t>
      </w:r>
      <w:r w:rsidR="00535607">
        <w:t>. Lo mismo está pasando en los últimos años con las afirmaciones, también sin datos, que se hacen respecto al “elevadísimo” número de denuncias falsas por violencia de</w:t>
      </w:r>
      <w:r w:rsidR="001964F4">
        <w:t xml:space="preserve"> </w:t>
      </w:r>
      <w:r w:rsidR="00535607">
        <w:t>género</w:t>
      </w:r>
      <w:r w:rsidR="0079288E">
        <w:t>, llegando</w:t>
      </w:r>
      <w:r w:rsidR="001964F4">
        <w:t xml:space="preserve"> a hablarse de un 80%</w:t>
      </w:r>
      <w:r w:rsidR="0079288E">
        <w:t xml:space="preserve">. </w:t>
      </w:r>
    </w:p>
    <w:p w:rsidR="00294A4E" w:rsidRDefault="00294A4E" w:rsidP="00586DD4">
      <w:pPr>
        <w:jc w:val="both"/>
      </w:pPr>
    </w:p>
    <w:p w:rsidR="00243A6B" w:rsidRDefault="000803DC" w:rsidP="005A6534">
      <w:pPr>
        <w:ind w:firstLine="708"/>
        <w:jc w:val="both"/>
      </w:pPr>
      <w:r>
        <w:t>Conviene que</w:t>
      </w:r>
      <w:r w:rsidR="005E417B">
        <w:t xml:space="preserve"> nos paremos en este último asun</w:t>
      </w:r>
      <w:r>
        <w:t>to</w:t>
      </w:r>
      <w:r w:rsidR="00D6354B">
        <w:t xml:space="preserve"> intentando ver que nos dicen las estadísticas </w:t>
      </w:r>
      <w:r w:rsidR="002F7431">
        <w:t xml:space="preserve">que aparecen en los informes </w:t>
      </w:r>
      <w:r w:rsidR="00D6354B">
        <w:t>anuales sobre Violencia de Género que</w:t>
      </w:r>
      <w:r w:rsidR="002F7431">
        <w:t xml:space="preserve"> elabora y hace públicas el</w:t>
      </w:r>
      <w:r w:rsidR="00D6354B">
        <w:t xml:space="preserve"> Consejo</w:t>
      </w:r>
      <w:r w:rsidR="002F7431">
        <w:t xml:space="preserve"> </w:t>
      </w:r>
      <w:r w:rsidR="00D6354B">
        <w:t>General del</w:t>
      </w:r>
      <w:r w:rsidR="002F7431">
        <w:t xml:space="preserve"> Poder J</w:t>
      </w:r>
      <w:r w:rsidR="00D6354B">
        <w:t>udicial</w:t>
      </w:r>
      <w:r w:rsidR="008F34A5">
        <w:t>.</w:t>
      </w:r>
      <w:r w:rsidR="00AE3E22">
        <w:t xml:space="preserve"> En el último de ellos, el correspondiente al año 2014, podemos leer que el número de denuncias presentadas es de </w:t>
      </w:r>
      <w:r w:rsidR="009016AB" w:rsidRPr="009016AB">
        <w:t>126.742</w:t>
      </w:r>
      <w:r w:rsidR="001716BB">
        <w:t xml:space="preserve">, siendo </w:t>
      </w:r>
      <w:r w:rsidR="009016AB" w:rsidRPr="009016AB">
        <w:t xml:space="preserve">28.365 </w:t>
      </w:r>
      <w:r w:rsidR="001716BB">
        <w:t xml:space="preserve">las </w:t>
      </w:r>
      <w:r w:rsidR="009016AB" w:rsidRPr="009016AB">
        <w:t xml:space="preserve">condenas </w:t>
      </w:r>
      <w:r w:rsidR="001716BB">
        <w:t>lo que representa</w:t>
      </w:r>
      <w:r w:rsidR="009016AB" w:rsidRPr="009016AB">
        <w:t xml:space="preserve"> un 22’4 %</w:t>
      </w:r>
      <w:r w:rsidR="001716BB">
        <w:t xml:space="preserve"> de las denuncias presentadas. </w:t>
      </w:r>
      <w:r w:rsidR="00243A6B" w:rsidRPr="00243A6B">
        <w:t xml:space="preserve">El </w:t>
      </w:r>
      <w:r w:rsidR="00243A6B" w:rsidRPr="002C7748">
        <w:rPr>
          <w:b/>
        </w:rPr>
        <w:t>77’6</w:t>
      </w:r>
      <w:r w:rsidR="00B4460A" w:rsidRPr="002C7748">
        <w:rPr>
          <w:b/>
        </w:rPr>
        <w:t>5%</w:t>
      </w:r>
      <w:r w:rsidR="00243A6B" w:rsidRPr="00243A6B">
        <w:t xml:space="preserve"> restante</w:t>
      </w:r>
      <w:r w:rsidR="00243A6B">
        <w:t xml:space="preserve"> está compuesto por</w:t>
      </w:r>
      <w:r w:rsidR="00B4460A">
        <w:t xml:space="preserve"> </w:t>
      </w:r>
      <w:r w:rsidR="00243A6B" w:rsidRPr="00243A6B">
        <w:t>17.984 absoluciones</w:t>
      </w:r>
      <w:r w:rsidR="00243A6B">
        <w:t xml:space="preserve"> y 80</w:t>
      </w:r>
      <w:r w:rsidR="007A5596">
        <w:t>.</w:t>
      </w:r>
      <w:r w:rsidR="00243A6B">
        <w:t>429</w:t>
      </w:r>
      <w:r w:rsidR="00B4460A">
        <w:t xml:space="preserve"> </w:t>
      </w:r>
      <w:r w:rsidR="00243A6B" w:rsidRPr="00243A6B">
        <w:t>sobreseimientos</w:t>
      </w:r>
      <w:r w:rsidR="00B4460A">
        <w:t xml:space="preserve">, </w:t>
      </w:r>
      <w:r w:rsidR="00243A6B" w:rsidRPr="00243A6B">
        <w:t>retiradas de denuncia</w:t>
      </w:r>
      <w:r w:rsidR="00B4460A">
        <w:t xml:space="preserve">, </w:t>
      </w:r>
      <w:r w:rsidR="00243A6B" w:rsidRPr="00243A6B">
        <w:t>negativa a declarar por parte de la mujer</w:t>
      </w:r>
      <w:r w:rsidR="00B4460A">
        <w:t xml:space="preserve"> y </w:t>
      </w:r>
      <w:r w:rsidR="00243A6B" w:rsidRPr="00243A6B">
        <w:t>otras</w:t>
      </w:r>
      <w:r w:rsidR="002C7748">
        <w:t>.</w:t>
      </w:r>
      <w:r w:rsidR="00345284">
        <w:t xml:space="preserve"> Los casos abiertos por denuncias falsas según este mismo documento suponen un 0’</w:t>
      </w:r>
      <w:r w:rsidR="0006380F">
        <w:t>010</w:t>
      </w:r>
      <w:r w:rsidR="000F149C">
        <w:t>% del total</w:t>
      </w:r>
      <w:r w:rsidR="0054487C">
        <w:t xml:space="preserve"> (Consejo General del Poder Judicial, 2014).</w:t>
      </w:r>
    </w:p>
    <w:p w:rsidR="00270AC6" w:rsidRDefault="000F149C" w:rsidP="00F829A2">
      <w:pPr>
        <w:ind w:firstLine="708"/>
        <w:jc w:val="both"/>
      </w:pPr>
      <w:r>
        <w:t>El 8</w:t>
      </w:r>
      <w:r w:rsidR="000A4FB0">
        <w:t>0% del que hablan debe referirse a</w:t>
      </w:r>
      <w:r w:rsidR="0046718E">
        <w:t xml:space="preserve"> este</w:t>
      </w:r>
      <w:r>
        <w:t xml:space="preserve"> 77’65%</w:t>
      </w:r>
      <w:r w:rsidR="0046718E">
        <w:t xml:space="preserve"> que nos encontr</w:t>
      </w:r>
      <w:r w:rsidR="00DE4C5D">
        <w:t>amos en el documento del CG</w:t>
      </w:r>
      <w:r w:rsidR="0046718E">
        <w:t>PJ</w:t>
      </w:r>
      <w:r>
        <w:t xml:space="preserve"> y </w:t>
      </w:r>
      <w:r w:rsidR="00BA3A57">
        <w:t xml:space="preserve">que como indicábamos </w:t>
      </w:r>
      <w:r>
        <w:t>está compuesto de absoluciones, sobreseimientos, retiradas</w:t>
      </w:r>
      <w:r w:rsidR="00DE4C5D">
        <w:t xml:space="preserve"> de denuncia y</w:t>
      </w:r>
      <w:r>
        <w:t xml:space="preserve"> negativas a de</w:t>
      </w:r>
      <w:r w:rsidR="00B166A8">
        <w:t>clarar</w:t>
      </w:r>
      <w:r w:rsidR="00DE4C5D">
        <w:t xml:space="preserve"> de las denunciantes</w:t>
      </w:r>
      <w:r w:rsidR="00B166A8">
        <w:t xml:space="preserve">. </w:t>
      </w:r>
    </w:p>
    <w:p w:rsidR="00586DD4" w:rsidRDefault="00B166A8" w:rsidP="00F829A2">
      <w:pPr>
        <w:ind w:firstLine="708"/>
        <w:jc w:val="both"/>
      </w:pPr>
      <w:r>
        <w:t>Los defensores de la presu</w:t>
      </w:r>
      <w:r w:rsidR="000F149C">
        <w:t>nción de inocencia de los</w:t>
      </w:r>
      <w:r>
        <w:t xml:space="preserve"> </w:t>
      </w:r>
      <w:r w:rsidR="000F149C">
        <w:t>hombres no</w:t>
      </w:r>
      <w:r>
        <w:t xml:space="preserve"> tienen rep</w:t>
      </w:r>
      <w:r w:rsidR="000F149C">
        <w:t>aros en</w:t>
      </w:r>
      <w:r>
        <w:t xml:space="preserve"> </w:t>
      </w:r>
      <w:r w:rsidR="006629E3">
        <w:t xml:space="preserve">condenar directamente </w:t>
      </w:r>
      <w:r w:rsidR="006629E3" w:rsidRPr="006629E3">
        <w:t>sin pruebas ni juicio a todas es</w:t>
      </w:r>
      <w:r w:rsidR="00BA3A57">
        <w:t>t</w:t>
      </w:r>
      <w:r w:rsidR="006629E3" w:rsidRPr="006629E3">
        <w:t>as mujeres</w:t>
      </w:r>
      <w:r w:rsidR="00BA3A57">
        <w:t xml:space="preserve"> denunciantes</w:t>
      </w:r>
      <w:r w:rsidR="006629E3" w:rsidRPr="006629E3">
        <w:t xml:space="preserve"> como autoras de un “delito de denuncias falsas</w:t>
      </w:r>
      <w:r w:rsidR="00496FFF">
        <w:t>”. Haciéndolo</w:t>
      </w:r>
      <w:r w:rsidR="00174A97">
        <w:t xml:space="preserve"> a sabiendas</w:t>
      </w:r>
      <w:r w:rsidR="00A9391D">
        <w:t xml:space="preserve"> (cuesta trabajo</w:t>
      </w:r>
      <w:r w:rsidR="009F6E23">
        <w:t xml:space="preserve"> </w:t>
      </w:r>
      <w:r w:rsidR="00A9391D">
        <w:t>presuponer ignorancia</w:t>
      </w:r>
      <w:r w:rsidR="009F6E23">
        <w:t>)</w:t>
      </w:r>
      <w:r w:rsidR="00ED1B8B">
        <w:t xml:space="preserve"> de que la ausencia de pruebas es</w:t>
      </w:r>
      <w:r w:rsidR="00E04BD8">
        <w:t xml:space="preserve"> la mayor causa d</w:t>
      </w:r>
      <w:r w:rsidR="00F829A2">
        <w:t xml:space="preserve">e sobreseimientos y absoluciones, </w:t>
      </w:r>
      <w:r w:rsidR="00CD29DE">
        <w:t>la ausencia de pruebas implica que no se ha podido determinar la culpabilidad del acusado</w:t>
      </w:r>
      <w:r w:rsidR="0044662C">
        <w:t>, nunca que el delito no se haya producido</w:t>
      </w:r>
      <w:r w:rsidR="000A597F">
        <w:t xml:space="preserve"> (</w:t>
      </w:r>
      <w:r w:rsidR="0044662C">
        <w:t xml:space="preserve">en esto precisamente consiste la presunción </w:t>
      </w:r>
      <w:r w:rsidR="00D003AB">
        <w:t>de inocencia)</w:t>
      </w:r>
      <w:r w:rsidR="003D1F4C">
        <w:t>.</w:t>
      </w:r>
      <w:r w:rsidR="007B7889">
        <w:t xml:space="preserve"> </w:t>
      </w:r>
      <w:r w:rsidR="000A722B">
        <w:t xml:space="preserve">En este famoso 80% </w:t>
      </w:r>
      <w:r w:rsidR="009D59E4">
        <w:t xml:space="preserve">de “denuncias falsas” </w:t>
      </w:r>
      <w:r w:rsidR="000A722B">
        <w:t xml:space="preserve">está incluido </w:t>
      </w:r>
      <w:r w:rsidR="009D59E4">
        <w:t>e</w:t>
      </w:r>
      <w:r w:rsidR="007B7889">
        <w:t xml:space="preserve">l </w:t>
      </w:r>
      <w:r w:rsidR="00586DD4" w:rsidRPr="00586DD4">
        <w:t xml:space="preserve"> 5’6 de las </w:t>
      </w:r>
      <w:r w:rsidR="00F829A2">
        <w:t>mujeres asesinadas en 2014</w:t>
      </w:r>
      <w:r w:rsidR="00FE4A30">
        <w:t xml:space="preserve"> que </w:t>
      </w:r>
      <w:r w:rsidR="000A722B">
        <w:t xml:space="preserve">después de haber </w:t>
      </w:r>
      <w:r w:rsidR="00261FCC">
        <w:t xml:space="preserve"> </w:t>
      </w:r>
      <w:r w:rsidR="00FE4A30">
        <w:t xml:space="preserve">presentado </w:t>
      </w:r>
      <w:r w:rsidR="000A722B">
        <w:t xml:space="preserve">denuncias </w:t>
      </w:r>
      <w:r w:rsidR="00FE4A30">
        <w:t>decidieron retirarlas</w:t>
      </w:r>
      <w:r w:rsidR="00F829A2">
        <w:t>.</w:t>
      </w:r>
    </w:p>
    <w:p w:rsidR="00DD075C" w:rsidRDefault="00EE79FC" w:rsidP="008432B6">
      <w:pPr>
        <w:ind w:firstLine="708"/>
        <w:jc w:val="both"/>
      </w:pPr>
      <w:r>
        <w:t>Las razones</w:t>
      </w:r>
      <w:r w:rsidR="00261FCC">
        <w:t xml:space="preserve"> que </w:t>
      </w:r>
      <w:r w:rsidR="00887D72">
        <w:t>se suelen aducir</w:t>
      </w:r>
      <w:r w:rsidR="00687232">
        <w:t xml:space="preserve"> para</w:t>
      </w:r>
      <w:r w:rsidR="00261FCC">
        <w:t xml:space="preserve"> presentar denuncias falsas</w:t>
      </w:r>
      <w:r w:rsidR="005F4CF3">
        <w:t xml:space="preserve"> </w:t>
      </w:r>
      <w:r w:rsidR="009D59E4">
        <w:t>tienen que</w:t>
      </w:r>
      <w:r w:rsidR="005F4CF3">
        <w:t xml:space="preserve"> </w:t>
      </w:r>
      <w:r w:rsidR="009D59E4">
        <w:t>ver con</w:t>
      </w:r>
      <w:r w:rsidR="005B32B7">
        <w:t xml:space="preserve"> la ob</w:t>
      </w:r>
      <w:r w:rsidR="009D59E4">
        <w:t>tención</w:t>
      </w:r>
      <w:r w:rsidR="00EB2B67">
        <w:t xml:space="preserve"> </w:t>
      </w:r>
      <w:r w:rsidR="005B32B7">
        <w:t>de</w:t>
      </w:r>
      <w:r w:rsidR="00540722">
        <w:t xml:space="preserve"> posiciones de</w:t>
      </w:r>
      <w:r w:rsidR="003E6A15">
        <w:t xml:space="preserve"> </w:t>
      </w:r>
      <w:r w:rsidR="00540722">
        <w:t>ventaja en</w:t>
      </w:r>
      <w:r w:rsidR="003E6A15">
        <w:t xml:space="preserve"> </w:t>
      </w:r>
      <w:r w:rsidR="00540722">
        <w:t>los</w:t>
      </w:r>
      <w:r w:rsidR="003E6A15">
        <w:t xml:space="preserve"> </w:t>
      </w:r>
      <w:r w:rsidR="00540722">
        <w:t>litigios</w:t>
      </w:r>
      <w:r w:rsidR="005F4CF3">
        <w:t>:</w:t>
      </w:r>
      <w:r w:rsidR="003E6A15">
        <w:t xml:space="preserve"> quedarse con la custodia</w:t>
      </w:r>
      <w:r w:rsidR="00B1315D">
        <w:t xml:space="preserve"> de los/a</w:t>
      </w:r>
      <w:r w:rsidR="00687232">
        <w:t>s menores</w:t>
      </w:r>
      <w:r w:rsidR="00967656">
        <w:t>,</w:t>
      </w:r>
      <w:r w:rsidR="00A213C6">
        <w:t xml:space="preserve"> </w:t>
      </w:r>
      <w:r w:rsidR="00B1315D">
        <w:t>obtener para lo/as hijo/a</w:t>
      </w:r>
      <w:r w:rsidR="003E6A15">
        <w:t>s una pa</w:t>
      </w:r>
      <w:r w:rsidR="00967656">
        <w:t>ga de manutención y</w:t>
      </w:r>
      <w:r w:rsidR="00EB2B67">
        <w:t xml:space="preserve"> la atribución de</w:t>
      </w:r>
      <w:r w:rsidR="00967656">
        <w:t xml:space="preserve"> </w:t>
      </w:r>
      <w:r w:rsidR="00EB2B67">
        <w:t>la vivienda</w:t>
      </w:r>
      <w:r w:rsidR="00A213C6">
        <w:t xml:space="preserve"> familiar.</w:t>
      </w:r>
      <w:r w:rsidR="00834E33">
        <w:t xml:space="preserve"> </w:t>
      </w:r>
      <w:r w:rsidR="006E6AC7">
        <w:t>Se afirma que en numerosas ocasiones</w:t>
      </w:r>
      <w:r w:rsidR="00BB5E7C">
        <w:t xml:space="preserve"> los/as abogados/a</w:t>
      </w:r>
      <w:r w:rsidR="004513CE">
        <w:t>s de las mujeres les aconsejan el hacerlo por las ventajas que les aporta en los juicios.</w:t>
      </w:r>
      <w:r w:rsidR="00E535F6">
        <w:t xml:space="preserve"> </w:t>
      </w:r>
      <w:r w:rsidR="00834E33">
        <w:t>Los datos obtenidos del documento del CGPJ al respecto pueden aclarar con datos</w:t>
      </w:r>
      <w:r w:rsidR="00A213C6">
        <w:t xml:space="preserve"> </w:t>
      </w:r>
      <w:r w:rsidR="00EB2B67">
        <w:t xml:space="preserve"> </w:t>
      </w:r>
      <w:r w:rsidR="005E25CC">
        <w:t>lo erró</w:t>
      </w:r>
      <w:r w:rsidR="005B32B7">
        <w:t>neo</w:t>
      </w:r>
      <w:r w:rsidR="005E25CC">
        <w:t xml:space="preserve"> de estas opiniones</w:t>
      </w:r>
      <w:r w:rsidR="0089022F">
        <w:t xml:space="preserve"> puesto que </w:t>
      </w:r>
      <w:r w:rsidR="005E25CC">
        <w:t xml:space="preserve">únicamente </w:t>
      </w:r>
      <w:r w:rsidR="0089022F">
        <w:t>en</w:t>
      </w:r>
      <w:r w:rsidR="00D93D7C">
        <w:t xml:space="preserve"> un 3’3% de</w:t>
      </w:r>
      <w:r w:rsidR="0089022F">
        <w:t xml:space="preserve"> las causas </w:t>
      </w:r>
      <w:r w:rsidR="00D93D7C">
        <w:t>se establecieron medidas de custodia derivadas de</w:t>
      </w:r>
      <w:r w:rsidR="005C4DCD">
        <w:t>l</w:t>
      </w:r>
      <w:r w:rsidR="00D93D7C">
        <w:t xml:space="preserve"> juicio</w:t>
      </w:r>
      <w:r w:rsidR="005C4DCD">
        <w:t>. En cuanto a las derivadas de orden de alejamiento/protección</w:t>
      </w:r>
      <w:r w:rsidR="00406B4C">
        <w:t>,</w:t>
      </w:r>
      <w:r w:rsidR="002B5BA3">
        <w:t xml:space="preserve"> en un 3’4% se atribuyó la vivienda, en un 0’5% la suspensión de</w:t>
      </w:r>
      <w:r w:rsidR="002D03E0">
        <w:t xml:space="preserve"> </w:t>
      </w:r>
      <w:r w:rsidR="002B5BA3">
        <w:t>las</w:t>
      </w:r>
      <w:r w:rsidR="002D03E0">
        <w:t xml:space="preserve"> </w:t>
      </w:r>
      <w:r w:rsidR="002B5BA3">
        <w:t>visitas,</w:t>
      </w:r>
      <w:r w:rsidR="002D03E0">
        <w:t xml:space="preserve"> en un 0`06 la retirada de la patria potestad, en un 1’1% la suspensión de la guardia y custodia</w:t>
      </w:r>
      <w:r w:rsidR="00B079E9">
        <w:t xml:space="preserve"> y se establecieron prestaciones alimentarias en un 4’1%</w:t>
      </w:r>
      <w:r w:rsidR="00E535F6">
        <w:t>. A la luz de estos datos poca</w:t>
      </w:r>
      <w:r w:rsidR="00BD6EF4">
        <w:t>s</w:t>
      </w:r>
      <w:r w:rsidR="00B60C9C">
        <w:t xml:space="preserve"> ventajas</w:t>
      </w:r>
      <w:r w:rsidR="00280AC3">
        <w:t xml:space="preserve"> aportan</w:t>
      </w:r>
      <w:r w:rsidR="005C4DCD">
        <w:t xml:space="preserve"> </w:t>
      </w:r>
      <w:r w:rsidR="00BD6EF4">
        <w:t xml:space="preserve">estas </w:t>
      </w:r>
      <w:r w:rsidR="00406B4C">
        <w:t>“</w:t>
      </w:r>
      <w:r w:rsidR="00BD6EF4">
        <w:t>falsas denuncia</w:t>
      </w:r>
      <w:r w:rsidR="00406B4C">
        <w:t>”</w:t>
      </w:r>
      <w:r w:rsidR="00BD6EF4">
        <w:t xml:space="preserve"> en cuanto a </w:t>
      </w:r>
      <w:r w:rsidR="00B60C9C">
        <w:t>manutención, vivienda y</w:t>
      </w:r>
      <w:r w:rsidR="00DB51DB">
        <w:t xml:space="preserve"> custod</w:t>
      </w:r>
      <w:r w:rsidR="00753864">
        <w:t>ia</w:t>
      </w:r>
      <w:r w:rsidR="00DB51DB">
        <w:t>. Capítulo aparte merecería</w:t>
      </w:r>
      <w:r w:rsidR="00753864">
        <w:t xml:space="preserve"> la </w:t>
      </w:r>
      <w:r w:rsidR="0035719A">
        <w:t xml:space="preserve">cuestión </w:t>
      </w:r>
      <w:r w:rsidR="00753864">
        <w:t xml:space="preserve">ética </w:t>
      </w:r>
      <w:r w:rsidR="00DB51DB">
        <w:t xml:space="preserve"> de los profesionales de</w:t>
      </w:r>
      <w:r w:rsidR="00753864">
        <w:t xml:space="preserve"> la abogacía</w:t>
      </w:r>
      <w:r w:rsidR="0035719A">
        <w:t xml:space="preserve"> que aconsejaran</w:t>
      </w:r>
      <w:r w:rsidR="00753864">
        <w:t xml:space="preserve"> semejante cosa</w:t>
      </w:r>
      <w:r w:rsidR="00B60C9C">
        <w:t>, por no hablar de</w:t>
      </w:r>
      <w:r w:rsidR="00343E58">
        <w:t xml:space="preserve"> l</w:t>
      </w:r>
      <w:r w:rsidR="00540320">
        <w:t xml:space="preserve">a brillantez </w:t>
      </w:r>
      <w:r w:rsidR="0035719A">
        <w:t xml:space="preserve">de los </w:t>
      </w:r>
      <w:r w:rsidR="0035719A">
        <w:lastRenderedPageBreak/>
        <w:t>profesionales</w:t>
      </w:r>
      <w:r w:rsidR="00B60C9C">
        <w:t xml:space="preserve"> </w:t>
      </w:r>
      <w:r w:rsidR="00343E58">
        <w:t>que brinda</w:t>
      </w:r>
      <w:r w:rsidR="0035719A">
        <w:t>ra</w:t>
      </w:r>
      <w:r w:rsidR="00343E58">
        <w:t xml:space="preserve">n dichos consejos. </w:t>
      </w:r>
      <w:r w:rsidR="00AB42AC">
        <w:t>Cualquiera que se haya visto envuelto en algún juicio rápidamente se dará cuenta</w:t>
      </w:r>
      <w:r w:rsidR="005315C7">
        <w:t xml:space="preserve"> </w:t>
      </w:r>
      <w:r w:rsidR="0003066A">
        <w:t xml:space="preserve">de </w:t>
      </w:r>
      <w:r w:rsidR="005315C7">
        <w:t>que para obtener lo que según estos datos se obtiene no tiene sentido alguno presentar una denuncia falsa, más teniendo en cuenta a lo que se arriesga uno en caso de que el Juez o l</w:t>
      </w:r>
      <w:r w:rsidR="00A23CDE">
        <w:t>a Jueza decidan deducir testimon</w:t>
      </w:r>
      <w:r w:rsidR="00E02A03">
        <w:t>io por presunta falsedad en la denuncia.</w:t>
      </w:r>
      <w:r w:rsidR="00AB42AC">
        <w:t xml:space="preserve"> </w:t>
      </w:r>
    </w:p>
    <w:p w:rsidR="00DD075C" w:rsidRDefault="00DD075C" w:rsidP="008432B6">
      <w:pPr>
        <w:ind w:firstLine="708"/>
        <w:jc w:val="both"/>
      </w:pPr>
    </w:p>
    <w:p w:rsidR="008432B6" w:rsidRDefault="00E16052" w:rsidP="00D21359">
      <w:pPr>
        <w:pStyle w:val="Default"/>
        <w:ind w:firstLine="708"/>
        <w:jc w:val="both"/>
        <w:rPr>
          <w:rFonts w:ascii="Times New Roman" w:hAnsi="Times New Roman" w:cs="Times New Roman"/>
        </w:rPr>
      </w:pPr>
      <w:r>
        <w:rPr>
          <w:rFonts w:ascii="Times New Roman" w:hAnsi="Times New Roman" w:cs="Times New Roman"/>
        </w:rPr>
        <w:t>Respecto</w:t>
      </w:r>
      <w:r w:rsidR="00FE1A9A">
        <w:rPr>
          <w:rFonts w:ascii="Times New Roman" w:hAnsi="Times New Roman" w:cs="Times New Roman"/>
        </w:rPr>
        <w:t xml:space="preserve"> a la afirmación</w:t>
      </w:r>
      <w:r w:rsidR="00B60C9C" w:rsidRPr="00530852">
        <w:rPr>
          <w:rFonts w:ascii="Times New Roman" w:hAnsi="Times New Roman" w:cs="Times New Roman"/>
        </w:rPr>
        <w:t xml:space="preserve"> </w:t>
      </w:r>
      <w:r w:rsidR="00DD075C" w:rsidRPr="00530852">
        <w:rPr>
          <w:rFonts w:ascii="Times New Roman" w:hAnsi="Times New Roman" w:cs="Times New Roman"/>
        </w:rPr>
        <w:t>de que el 60% de las denuncias por abuso</w:t>
      </w:r>
      <w:r w:rsidR="00AC1D49">
        <w:rPr>
          <w:rFonts w:ascii="Times New Roman" w:hAnsi="Times New Roman" w:cs="Times New Roman"/>
        </w:rPr>
        <w:t xml:space="preserve">s sexuales son falsas no hemos podido encontrar </w:t>
      </w:r>
      <w:r w:rsidR="00DD075C" w:rsidRPr="00530852">
        <w:rPr>
          <w:rFonts w:ascii="Times New Roman" w:hAnsi="Times New Roman" w:cs="Times New Roman"/>
        </w:rPr>
        <w:t xml:space="preserve"> por desgracia datos </w:t>
      </w:r>
      <w:r w:rsidR="00057D58" w:rsidRPr="00530852">
        <w:rPr>
          <w:rFonts w:ascii="Times New Roman" w:hAnsi="Times New Roman" w:cs="Times New Roman"/>
        </w:rPr>
        <w:t>que nos la aclaren</w:t>
      </w:r>
      <w:r w:rsidR="00945E8F" w:rsidRPr="00530852">
        <w:rPr>
          <w:rFonts w:ascii="Times New Roman" w:hAnsi="Times New Roman" w:cs="Times New Roman"/>
        </w:rPr>
        <w:t xml:space="preserve"> y sería muy impor</w:t>
      </w:r>
      <w:r w:rsidR="000E0C0C">
        <w:rPr>
          <w:rFonts w:ascii="Times New Roman" w:hAnsi="Times New Roman" w:cs="Times New Roman"/>
        </w:rPr>
        <w:t>tante que Menores, el CGPJ, el Defensor del M</w:t>
      </w:r>
      <w:r w:rsidR="00945E8F" w:rsidRPr="00530852">
        <w:rPr>
          <w:rFonts w:ascii="Times New Roman" w:hAnsi="Times New Roman" w:cs="Times New Roman"/>
        </w:rPr>
        <w:t>enor</w:t>
      </w:r>
      <w:r w:rsidR="009F39B7" w:rsidRPr="00530852">
        <w:rPr>
          <w:rFonts w:ascii="Times New Roman" w:hAnsi="Times New Roman" w:cs="Times New Roman"/>
        </w:rPr>
        <w:t xml:space="preserve"> o a qui</w:t>
      </w:r>
      <w:r w:rsidR="00811970" w:rsidRPr="00530852">
        <w:rPr>
          <w:rFonts w:ascii="Times New Roman" w:hAnsi="Times New Roman" w:cs="Times New Roman"/>
        </w:rPr>
        <w:t>én corresponda el hacerlo</w:t>
      </w:r>
      <w:r w:rsidR="000E0C0C">
        <w:rPr>
          <w:rFonts w:ascii="Times New Roman" w:hAnsi="Times New Roman" w:cs="Times New Roman"/>
        </w:rPr>
        <w:t>,</w:t>
      </w:r>
      <w:r w:rsidR="00811970" w:rsidRPr="00530852">
        <w:rPr>
          <w:rFonts w:ascii="Times New Roman" w:hAnsi="Times New Roman" w:cs="Times New Roman"/>
        </w:rPr>
        <w:t xml:space="preserve"> publiquen</w:t>
      </w:r>
      <w:r w:rsidR="009F39B7" w:rsidRPr="00530852">
        <w:rPr>
          <w:rFonts w:ascii="Times New Roman" w:hAnsi="Times New Roman" w:cs="Times New Roman"/>
        </w:rPr>
        <w:t xml:space="preserve"> datos fiables con los que</w:t>
      </w:r>
      <w:r w:rsidR="00811970" w:rsidRPr="00530852">
        <w:rPr>
          <w:rFonts w:ascii="Times New Roman" w:hAnsi="Times New Roman" w:cs="Times New Roman"/>
        </w:rPr>
        <w:t xml:space="preserve"> se pueda</w:t>
      </w:r>
      <w:r w:rsidR="001F4EFE" w:rsidRPr="00530852">
        <w:rPr>
          <w:rFonts w:ascii="Times New Roman" w:hAnsi="Times New Roman" w:cs="Times New Roman"/>
        </w:rPr>
        <w:t>n rebatir opinion</w:t>
      </w:r>
      <w:r w:rsidR="00811970" w:rsidRPr="00530852">
        <w:rPr>
          <w:rFonts w:ascii="Times New Roman" w:hAnsi="Times New Roman" w:cs="Times New Roman"/>
        </w:rPr>
        <w:t xml:space="preserve">es </w:t>
      </w:r>
      <w:r w:rsidR="000E0C0C" w:rsidRPr="00530852">
        <w:rPr>
          <w:rFonts w:ascii="Times New Roman" w:hAnsi="Times New Roman" w:cs="Times New Roman"/>
        </w:rPr>
        <w:t xml:space="preserve">tan perjudiciales para la vida de los menores </w:t>
      </w:r>
      <w:r w:rsidR="00811970" w:rsidRPr="00530852">
        <w:rPr>
          <w:rFonts w:ascii="Times New Roman" w:hAnsi="Times New Roman" w:cs="Times New Roman"/>
        </w:rPr>
        <w:t>como las defendidas por Aguilar Cuenca anteriormente señaladas</w:t>
      </w:r>
      <w:r w:rsidR="006B6A4F" w:rsidRPr="00530852">
        <w:rPr>
          <w:rFonts w:ascii="Times New Roman" w:hAnsi="Times New Roman" w:cs="Times New Roman"/>
        </w:rPr>
        <w:t>.</w:t>
      </w:r>
      <w:r w:rsidR="00CD53B5">
        <w:rPr>
          <w:rFonts w:ascii="Times New Roman" w:hAnsi="Times New Roman" w:cs="Times New Roman"/>
        </w:rPr>
        <w:t xml:space="preserve"> </w:t>
      </w:r>
      <w:r w:rsidR="008D58C5">
        <w:rPr>
          <w:rFonts w:ascii="Times New Roman" w:hAnsi="Times New Roman" w:cs="Times New Roman"/>
        </w:rPr>
        <w:t xml:space="preserve"> </w:t>
      </w:r>
    </w:p>
    <w:p w:rsidR="00842C69" w:rsidRDefault="00CD53B5" w:rsidP="000E23B9">
      <w:pPr>
        <w:pStyle w:val="Default"/>
        <w:ind w:firstLine="708"/>
        <w:jc w:val="both"/>
        <w:rPr>
          <w:rFonts w:ascii="Times New Roman" w:hAnsi="Times New Roman" w:cs="Times New Roman"/>
        </w:rPr>
      </w:pPr>
      <w:r>
        <w:rPr>
          <w:rFonts w:ascii="Times New Roman" w:hAnsi="Times New Roman" w:cs="Times New Roman"/>
        </w:rPr>
        <w:t>Esta importancia</w:t>
      </w:r>
      <w:r w:rsidR="00FA2E93" w:rsidRPr="00530852">
        <w:rPr>
          <w:rFonts w:ascii="Times New Roman" w:hAnsi="Times New Roman" w:cs="Times New Roman"/>
        </w:rPr>
        <w:t xml:space="preserve"> se hace más evidente </w:t>
      </w:r>
      <w:r w:rsidR="00C85222" w:rsidRPr="00530852">
        <w:rPr>
          <w:rFonts w:ascii="Times New Roman" w:hAnsi="Times New Roman" w:cs="Times New Roman"/>
        </w:rPr>
        <w:t xml:space="preserve"> </w:t>
      </w:r>
      <w:r w:rsidR="00FA2E93" w:rsidRPr="00530852">
        <w:rPr>
          <w:rFonts w:ascii="Times New Roman" w:hAnsi="Times New Roman" w:cs="Times New Roman"/>
        </w:rPr>
        <w:t>cuando opiniones de este tipo calan en</w:t>
      </w:r>
      <w:r w:rsidR="001942A2">
        <w:rPr>
          <w:rFonts w:ascii="Times New Roman" w:hAnsi="Times New Roman" w:cs="Times New Roman"/>
        </w:rPr>
        <w:t xml:space="preserve"> la sociedad, y lo que es más grave, en</w:t>
      </w:r>
      <w:r w:rsidR="00FA2E93" w:rsidRPr="00530852">
        <w:rPr>
          <w:rFonts w:ascii="Times New Roman" w:hAnsi="Times New Roman" w:cs="Times New Roman"/>
        </w:rPr>
        <w:t xml:space="preserve"> ambientes</w:t>
      </w:r>
      <w:r w:rsidR="001942A2">
        <w:rPr>
          <w:rFonts w:ascii="Times New Roman" w:hAnsi="Times New Roman" w:cs="Times New Roman"/>
        </w:rPr>
        <w:t xml:space="preserve"> políticos</w:t>
      </w:r>
      <w:r w:rsidR="001360D3">
        <w:rPr>
          <w:rFonts w:ascii="Times New Roman" w:hAnsi="Times New Roman" w:cs="Times New Roman"/>
        </w:rPr>
        <w:t xml:space="preserve"> y</w:t>
      </w:r>
      <w:r w:rsidR="00FA2E93" w:rsidRPr="00530852">
        <w:rPr>
          <w:rFonts w:ascii="Times New Roman" w:hAnsi="Times New Roman" w:cs="Times New Roman"/>
        </w:rPr>
        <w:t xml:space="preserve"> judiciales</w:t>
      </w:r>
      <w:r w:rsidR="00310C89">
        <w:rPr>
          <w:rFonts w:ascii="Times New Roman" w:hAnsi="Times New Roman" w:cs="Times New Roman"/>
        </w:rPr>
        <w:t xml:space="preserve">, de hecho existe </w:t>
      </w:r>
      <w:r w:rsidR="00661F28">
        <w:rPr>
          <w:rFonts w:ascii="Times New Roman" w:hAnsi="Times New Roman" w:cs="Times New Roman"/>
        </w:rPr>
        <w:t>un documento de la Fiscalía General</w:t>
      </w:r>
      <w:r w:rsidR="001E23EF">
        <w:rPr>
          <w:rFonts w:ascii="Times New Roman" w:hAnsi="Times New Roman" w:cs="Times New Roman"/>
        </w:rPr>
        <w:t xml:space="preserve"> del estado, la Circular 3/2009</w:t>
      </w:r>
      <w:r w:rsidR="00C85222" w:rsidRPr="00310C89">
        <w:rPr>
          <w:rFonts w:ascii="Times New Roman" w:hAnsi="Times New Roman" w:cs="Times New Roman"/>
        </w:rPr>
        <w:t xml:space="preserve">, </w:t>
      </w:r>
      <w:r w:rsidR="00661F28">
        <w:rPr>
          <w:rFonts w:ascii="Times New Roman" w:hAnsi="Times New Roman" w:cs="Times New Roman"/>
        </w:rPr>
        <w:t xml:space="preserve"> en la que </w:t>
      </w:r>
      <w:r w:rsidR="00C85222" w:rsidRPr="00310C89">
        <w:rPr>
          <w:rFonts w:ascii="Times New Roman" w:hAnsi="Times New Roman" w:cs="Times New Roman"/>
        </w:rPr>
        <w:t xml:space="preserve">apoyándose en los argumentos de varias sentencias del Tribunal Supremo afirma que en </w:t>
      </w:r>
      <w:r w:rsidR="00C85222" w:rsidRPr="00310C89">
        <w:rPr>
          <w:rFonts w:ascii="Times New Roman" w:hAnsi="Times New Roman" w:cs="Times New Roman"/>
          <w:i/>
          <w:iCs/>
        </w:rPr>
        <w:t>“los casos de separaciones matrimoniales conflictivas y en que existe litigio sobre la custodia o/y el ejercicio del derecho de visita, la experiencia judicial lamentablemente acredita que no</w:t>
      </w:r>
      <w:r w:rsidR="004C0E1E" w:rsidRPr="00310C89">
        <w:rPr>
          <w:rFonts w:ascii="Times New Roman" w:hAnsi="Times New Roman" w:cs="Times New Roman"/>
          <w:i/>
          <w:iCs/>
        </w:rPr>
        <w:t xml:space="preserve"> son excepcionales las denuncias por supuestos malos tratos o abusos que no responden a la realidad y tienen como finalidad influir sobre la decisión de custodia. Por ello, estos casos deben examinarse con suma atención y cuidado para evitar una posible condena injustificada de quien no tiene medio alguno de demostrar su inocencia enfrentado como única prueba acusatoria a las manifestaciones cambiantes de un niño de temprana edad que puede estar influenciado por su entorno familia</w:t>
      </w:r>
      <w:r w:rsidR="00163483">
        <w:rPr>
          <w:rFonts w:ascii="Times New Roman" w:hAnsi="Times New Roman" w:cs="Times New Roman"/>
          <w:i/>
          <w:iCs/>
        </w:rPr>
        <w:t>r”.</w:t>
      </w:r>
      <w:r w:rsidR="00632881" w:rsidRPr="00310C89">
        <w:rPr>
          <w:rFonts w:ascii="Times New Roman" w:hAnsi="Times New Roman" w:cs="Times New Roman"/>
        </w:rPr>
        <w:t xml:space="preserve"> </w:t>
      </w:r>
      <w:r w:rsidR="00FA2E93" w:rsidRPr="00310C89">
        <w:rPr>
          <w:rFonts w:ascii="Times New Roman" w:hAnsi="Times New Roman" w:cs="Times New Roman"/>
        </w:rPr>
        <w:t xml:space="preserve"> </w:t>
      </w:r>
    </w:p>
    <w:p w:rsidR="0052404D" w:rsidRDefault="006B6A4F" w:rsidP="000E23B9">
      <w:pPr>
        <w:pStyle w:val="Default"/>
        <w:ind w:firstLine="708"/>
        <w:jc w:val="both"/>
        <w:rPr>
          <w:rFonts w:ascii="Times New Roman" w:hAnsi="Times New Roman" w:cs="Times New Roman"/>
        </w:rPr>
      </w:pPr>
      <w:r w:rsidRPr="00842C69">
        <w:rPr>
          <w:rFonts w:ascii="Times New Roman" w:hAnsi="Times New Roman" w:cs="Times New Roman"/>
        </w:rPr>
        <w:t>Bien es verdad que</w:t>
      </w:r>
      <w:r w:rsidR="00CE717E">
        <w:rPr>
          <w:rFonts w:ascii="Times New Roman" w:hAnsi="Times New Roman" w:cs="Times New Roman"/>
        </w:rPr>
        <w:t xml:space="preserve"> posteriormente</w:t>
      </w:r>
      <w:r w:rsidRPr="00842C69">
        <w:rPr>
          <w:rFonts w:ascii="Times New Roman" w:hAnsi="Times New Roman" w:cs="Times New Roman"/>
        </w:rPr>
        <w:t xml:space="preserve"> </w:t>
      </w:r>
      <w:r w:rsidR="00F04411" w:rsidRPr="00842C69">
        <w:rPr>
          <w:rFonts w:ascii="Times New Roman" w:hAnsi="Times New Roman" w:cs="Times New Roman"/>
        </w:rPr>
        <w:t>el Po</w:t>
      </w:r>
      <w:r w:rsidR="0005326A" w:rsidRPr="00842C69">
        <w:rPr>
          <w:rFonts w:ascii="Times New Roman" w:hAnsi="Times New Roman" w:cs="Times New Roman"/>
        </w:rPr>
        <w:t>der J</w:t>
      </w:r>
      <w:r w:rsidR="00F04411" w:rsidRPr="00842C69">
        <w:rPr>
          <w:rFonts w:ascii="Times New Roman" w:hAnsi="Times New Roman" w:cs="Times New Roman"/>
        </w:rPr>
        <w:t>ud</w:t>
      </w:r>
      <w:r w:rsidR="00CE717E">
        <w:rPr>
          <w:rFonts w:ascii="Times New Roman" w:hAnsi="Times New Roman" w:cs="Times New Roman"/>
        </w:rPr>
        <w:t>icial el 14 de Junio de 2016 public</w:t>
      </w:r>
      <w:r w:rsidR="00F04411" w:rsidRPr="00842C69">
        <w:rPr>
          <w:rFonts w:ascii="Times New Roman" w:hAnsi="Times New Roman" w:cs="Times New Roman"/>
        </w:rPr>
        <w:t xml:space="preserve">ó una nota de prensa </w:t>
      </w:r>
      <w:r w:rsidR="0005326A" w:rsidRPr="00842C69">
        <w:rPr>
          <w:rFonts w:ascii="Times New Roman" w:hAnsi="Times New Roman" w:cs="Times New Roman"/>
        </w:rPr>
        <w:t xml:space="preserve">en su página web </w:t>
      </w:r>
      <w:r w:rsidR="002C182B" w:rsidRPr="00842C69">
        <w:rPr>
          <w:rFonts w:ascii="Times New Roman" w:hAnsi="Times New Roman" w:cs="Times New Roman"/>
        </w:rPr>
        <w:t xml:space="preserve">comentando una sentencia de la Sala de lo Penal del Tribunal Supremo </w:t>
      </w:r>
      <w:r w:rsidR="00552E77" w:rsidRPr="00842C69">
        <w:rPr>
          <w:rFonts w:ascii="Times New Roman" w:hAnsi="Times New Roman" w:cs="Times New Roman"/>
        </w:rPr>
        <w:t xml:space="preserve">sobre abusos sexuales a </w:t>
      </w:r>
      <w:r w:rsidR="0069514E" w:rsidRPr="00842C69">
        <w:rPr>
          <w:rFonts w:ascii="Times New Roman" w:hAnsi="Times New Roman" w:cs="Times New Roman"/>
        </w:rPr>
        <w:t xml:space="preserve">dos menores </w:t>
      </w:r>
      <w:r w:rsidR="0005326A" w:rsidRPr="00842C69">
        <w:rPr>
          <w:rFonts w:ascii="Times New Roman" w:hAnsi="Times New Roman" w:cs="Times New Roman"/>
        </w:rPr>
        <w:t>que nos hace pensar</w:t>
      </w:r>
      <w:r w:rsidR="00E77A50">
        <w:rPr>
          <w:rFonts w:ascii="Times New Roman" w:hAnsi="Times New Roman" w:cs="Times New Roman"/>
        </w:rPr>
        <w:t xml:space="preserve"> que parece</w:t>
      </w:r>
      <w:r w:rsidR="00BE55F2" w:rsidRPr="00842C69">
        <w:rPr>
          <w:rFonts w:ascii="Times New Roman" w:hAnsi="Times New Roman" w:cs="Times New Roman"/>
        </w:rPr>
        <w:t xml:space="preserve"> haber</w:t>
      </w:r>
      <w:r w:rsidR="00E77A50">
        <w:rPr>
          <w:rFonts w:ascii="Times New Roman" w:hAnsi="Times New Roman" w:cs="Times New Roman"/>
        </w:rPr>
        <w:t xml:space="preserve"> datos  que indican</w:t>
      </w:r>
      <w:r w:rsidR="0074107D">
        <w:rPr>
          <w:rFonts w:ascii="Times New Roman" w:hAnsi="Times New Roman" w:cs="Times New Roman"/>
        </w:rPr>
        <w:t xml:space="preserve"> todo</w:t>
      </w:r>
      <w:r w:rsidR="00711A34">
        <w:rPr>
          <w:rFonts w:ascii="Times New Roman" w:hAnsi="Times New Roman" w:cs="Times New Roman"/>
        </w:rPr>
        <w:t xml:space="preserve"> </w:t>
      </w:r>
      <w:r w:rsidR="0074107D">
        <w:rPr>
          <w:rFonts w:ascii="Times New Roman" w:hAnsi="Times New Roman" w:cs="Times New Roman"/>
        </w:rPr>
        <w:t>lo contrario</w:t>
      </w:r>
      <w:r w:rsidR="00711A34">
        <w:rPr>
          <w:rFonts w:ascii="Times New Roman" w:hAnsi="Times New Roman" w:cs="Times New Roman"/>
        </w:rPr>
        <w:t xml:space="preserve"> que la circular 3/2009:</w:t>
      </w:r>
      <w:r w:rsidR="0074107D">
        <w:rPr>
          <w:rFonts w:ascii="Times New Roman" w:hAnsi="Times New Roman" w:cs="Times New Roman"/>
        </w:rPr>
        <w:t xml:space="preserve"> </w:t>
      </w:r>
    </w:p>
    <w:p w:rsidR="00A01879" w:rsidRPr="0074107D" w:rsidRDefault="0069514E" w:rsidP="0052404D">
      <w:pPr>
        <w:pStyle w:val="Default"/>
        <w:jc w:val="both"/>
        <w:rPr>
          <w:rFonts w:ascii="Times New Roman" w:hAnsi="Times New Roman" w:cs="Times New Roman"/>
        </w:rPr>
      </w:pPr>
      <w:r w:rsidRPr="004E78F7">
        <w:rPr>
          <w:rFonts w:ascii="Times New Roman" w:hAnsi="Times New Roman" w:cs="Times New Roman"/>
          <w:i/>
          <w:color w:val="0D0D0D" w:themeColor="text1" w:themeTint="F2"/>
        </w:rPr>
        <w:t>“</w:t>
      </w:r>
      <w:r w:rsidR="00A01879" w:rsidRPr="004E78F7">
        <w:rPr>
          <w:rFonts w:ascii="Times New Roman" w:hAnsi="Times New Roman" w:cs="Times New Roman"/>
          <w:i/>
          <w:color w:val="0D0D0D" w:themeColor="text1" w:themeTint="F2"/>
        </w:rPr>
        <w:t>El Supremo, en sentencia de la que ha sido ponente el magistrado Cándido Conde-</w:t>
      </w:r>
      <w:proofErr w:type="spellStart"/>
      <w:r w:rsidR="00A01879" w:rsidRPr="004E78F7">
        <w:rPr>
          <w:rFonts w:ascii="Times New Roman" w:hAnsi="Times New Roman" w:cs="Times New Roman"/>
          <w:i/>
          <w:color w:val="0D0D0D" w:themeColor="text1" w:themeTint="F2"/>
        </w:rPr>
        <w:t>Pumpido</w:t>
      </w:r>
      <w:proofErr w:type="spellEnd"/>
      <w:r w:rsidR="00A01879" w:rsidRPr="004E78F7">
        <w:rPr>
          <w:rFonts w:ascii="Times New Roman" w:hAnsi="Times New Roman" w:cs="Times New Roman"/>
          <w:i/>
          <w:color w:val="0D0D0D" w:themeColor="text1" w:themeTint="F2"/>
        </w:rPr>
        <w:t>, explica que las investigaciones criminológicas de abusos sexuales sobre menores de doce años, realizadas en hospitales, institutos médico forenses, centros de investigación y agencias de protección del menor, ponen de manifiesto dos datos relevantes que como reglas de experiencia refuerzan la necesidad de utilización del testimonio de la víctima como prueba de cargo y al mismo tiempo ratifican la exigencia del máximo rigor en su valoración</w:t>
      </w:r>
      <w:r w:rsidR="00A01879" w:rsidRPr="0074107D">
        <w:rPr>
          <w:rFonts w:ascii="Times New Roman" w:hAnsi="Times New Roman" w:cs="Times New Roman"/>
          <w:i/>
          <w:color w:val="0D0D0D" w:themeColor="text1" w:themeTint="F2"/>
        </w:rPr>
        <w:t>.</w:t>
      </w:r>
      <w:r w:rsidR="0074107D" w:rsidRPr="0074107D">
        <w:rPr>
          <w:rFonts w:ascii="Times New Roman" w:hAnsi="Times New Roman" w:cs="Times New Roman"/>
          <w:i/>
          <w:color w:val="0D0D0D" w:themeColor="text1" w:themeTint="F2"/>
        </w:rPr>
        <w:t xml:space="preserve"> </w:t>
      </w:r>
      <w:r w:rsidR="00A01879" w:rsidRPr="0074107D">
        <w:rPr>
          <w:rFonts w:ascii="Times New Roman" w:hAnsi="Times New Roman" w:cs="Times New Roman"/>
          <w:i/>
        </w:rPr>
        <w:t xml:space="preserve">El primero es el del bajo número de falsos testimonios, y el segundo dato es que se constata como muy elevada la proporción de casos de abuso sexual sobre menores que no presentaron ninguna alteración en el examen físico. Esta ausencia </w:t>
      </w:r>
      <w:r w:rsidR="00C24FB9" w:rsidRPr="0074107D">
        <w:rPr>
          <w:rFonts w:ascii="Times New Roman" w:hAnsi="Times New Roman" w:cs="Times New Roman"/>
          <w:i/>
        </w:rPr>
        <w:t>de hallazgos médico forenses pue</w:t>
      </w:r>
      <w:r w:rsidR="00A01879" w:rsidRPr="0074107D">
        <w:rPr>
          <w:rFonts w:ascii="Times New Roman" w:hAnsi="Times New Roman" w:cs="Times New Roman"/>
          <w:i/>
        </w:rPr>
        <w:t>de obedecer a varias razones. En primer lugar, puede tratarse de una modalidad de abuso que no ocasione trauma, como caricias, roces en zonas erógenas o requerimientos de masturbación sobre el abusador, por ejemplo, que no dejan huella física. En segundo lugar, aun cuando se produzcan lesiones genitales o anales, el retraso con el que normalmente se realizan las denuncias, incluso años después de haberse producido los hechos, puede determinar que las lesiones hayan cicatrizado, sin dejar vestigios o dejando vestigios inespecíficos.</w:t>
      </w:r>
    </w:p>
    <w:p w:rsidR="00DE270A" w:rsidRPr="00597D50" w:rsidRDefault="00A01879" w:rsidP="000D08B7">
      <w:pPr>
        <w:jc w:val="both"/>
        <w:rPr>
          <w:i/>
        </w:rPr>
      </w:pPr>
      <w:r w:rsidRPr="0069514E">
        <w:rPr>
          <w:i/>
        </w:rPr>
        <w:t>La frecuente ausencia de vestigios físicos, unido al secreto que suele revestir esta clase de conductas, obliga a recurrir como prueba de cargo habitual a la declaración de la víctima</w:t>
      </w:r>
      <w:r w:rsidR="00AA4BD6">
        <w:rPr>
          <w:i/>
        </w:rPr>
        <w:t>”.</w:t>
      </w:r>
    </w:p>
    <w:p w:rsidR="00A83264" w:rsidRDefault="00A83264" w:rsidP="008432B6">
      <w:pPr>
        <w:ind w:firstLine="708"/>
        <w:jc w:val="both"/>
      </w:pPr>
      <w:r>
        <w:tab/>
      </w:r>
    </w:p>
    <w:p w:rsidR="004244CF" w:rsidRDefault="00AF4C44" w:rsidP="00372AEC">
      <w:pPr>
        <w:ind w:firstLine="708"/>
        <w:jc w:val="both"/>
      </w:pPr>
      <w:r>
        <w:lastRenderedPageBreak/>
        <w:t xml:space="preserve">El supuesto “síndrome de alienación parental” </w:t>
      </w:r>
      <w:r w:rsidR="00D84E2B">
        <w:t>y sus “marcas blancas”</w:t>
      </w:r>
      <w:r w:rsidR="00652D3B">
        <w:t xml:space="preserve"> (interferencias pa</w:t>
      </w:r>
      <w:r w:rsidR="001735EF">
        <w:t>rentales, alienaciones parentales…)</w:t>
      </w:r>
      <w:r w:rsidR="00D84E2B">
        <w:t xml:space="preserve"> si se me permite la expresión</w:t>
      </w:r>
      <w:r w:rsidR="001735EF">
        <w:t>,</w:t>
      </w:r>
      <w:r w:rsidR="00D84E2B">
        <w:t xml:space="preserve"> </w:t>
      </w:r>
      <w:r w:rsidR="00A83264">
        <w:t>está</w:t>
      </w:r>
      <w:r w:rsidR="00D84E2B">
        <w:t>n</w:t>
      </w:r>
      <w:r w:rsidR="00A83264">
        <w:t xml:space="preserve"> siendo utilizado</w:t>
      </w:r>
      <w:r w:rsidR="00D84E2B">
        <w:t>s</w:t>
      </w:r>
      <w:r w:rsidR="00A83264">
        <w:t xml:space="preserve"> de forma coercitiva cada vez con más frecuencia en contextos judiciales de todo el Estado, cada vez más niños/as están siendo separados/as </w:t>
      </w:r>
      <w:r w:rsidR="00A83264" w:rsidRPr="004E79D7">
        <w:rPr>
          <w:color w:val="000000"/>
        </w:rPr>
        <w:t>de</w:t>
      </w:r>
      <w:r w:rsidR="00A83264">
        <w:rPr>
          <w:color w:val="000000"/>
        </w:rPr>
        <w:t xml:space="preserve"> alguno de sus progenitores,</w:t>
      </w:r>
      <w:r w:rsidR="00A83264" w:rsidRPr="004E79D7">
        <w:rPr>
          <w:color w:val="000000"/>
        </w:rPr>
        <w:t xml:space="preserve"> </w:t>
      </w:r>
      <w:r w:rsidR="007C6703">
        <w:rPr>
          <w:color w:val="000000"/>
        </w:rPr>
        <w:t>generalmente sus</w:t>
      </w:r>
      <w:r w:rsidR="00A83264">
        <w:rPr>
          <w:color w:val="000000"/>
        </w:rPr>
        <w:t xml:space="preserve"> madre</w:t>
      </w:r>
      <w:r w:rsidR="00652D3B">
        <w:rPr>
          <w:color w:val="000000"/>
        </w:rPr>
        <w:t>s</w:t>
      </w:r>
      <w:r w:rsidR="00A83264">
        <w:rPr>
          <w:color w:val="000000"/>
        </w:rPr>
        <w:t xml:space="preserve">, </w:t>
      </w:r>
      <w:r w:rsidR="00A83264">
        <w:t xml:space="preserve">en virtud y con la única prueba de un diagnóstico de </w:t>
      </w:r>
      <w:proofErr w:type="spellStart"/>
      <w:r w:rsidR="00770427">
        <w:t>sap</w:t>
      </w:r>
      <w:proofErr w:type="spellEnd"/>
      <w:r w:rsidR="00A83264">
        <w:t xml:space="preserve"> realizado por </w:t>
      </w:r>
      <w:r w:rsidR="00A83264" w:rsidRPr="00151E3D">
        <w:t>“supuestos”</w:t>
      </w:r>
      <w:r w:rsidR="00A83264">
        <w:t xml:space="preserve"> expertos/as en e</w:t>
      </w:r>
      <w:r w:rsidR="00714037">
        <w:t>l asunto. La mayor parte de las ocasiones</w:t>
      </w:r>
      <w:r w:rsidR="00A83264">
        <w:t xml:space="preserve"> los/as </w:t>
      </w:r>
      <w:r w:rsidR="00A83264" w:rsidRPr="00151E3D">
        <w:t>“supuestos/as”</w:t>
      </w:r>
      <w:r w:rsidR="00A83264">
        <w:t xml:space="preserve"> expertos/as son psicólogos/as que trabajan en los departamentos Psicosociales de los Juzgados, Peritos (psicólogos/as) forenses de distintas instituciones públicas y privadas, técnicos/as de Puntos de encuentro familiares. </w:t>
      </w:r>
    </w:p>
    <w:p w:rsidR="00DB3753" w:rsidRDefault="00DB3753" w:rsidP="00843BDB">
      <w:pPr>
        <w:jc w:val="both"/>
      </w:pPr>
      <w:r>
        <w:t xml:space="preserve">Existen indicios más que razonables como señala un documento de la organización </w:t>
      </w:r>
      <w:proofErr w:type="spellStart"/>
      <w:r>
        <w:t>Save</w:t>
      </w:r>
      <w:proofErr w:type="spellEnd"/>
      <w:r>
        <w:t xml:space="preserve"> de </w:t>
      </w:r>
      <w:proofErr w:type="spellStart"/>
      <w:r>
        <w:t>Children</w:t>
      </w:r>
      <w:proofErr w:type="spellEnd"/>
      <w:r>
        <w:t xml:space="preserve"> </w:t>
      </w:r>
      <w:r w:rsidR="00816C6D">
        <w:t xml:space="preserve">(2012) </w:t>
      </w:r>
      <w:r>
        <w:t>de su utilización para desactivar denuncias de abusos sexuales a</w:t>
      </w:r>
      <w:r w:rsidR="00CF3A2A">
        <w:t xml:space="preserve"> </w:t>
      </w:r>
      <w:r w:rsidR="00C010F5">
        <w:t>menores. El documento relata</w:t>
      </w:r>
      <w:r w:rsidR="00843BDB">
        <w:t xml:space="preserve"> un estudio</w:t>
      </w:r>
      <w:r w:rsidR="00C010F5">
        <w:t xml:space="preserve"> longitudinal sobre el proceso de cuatro casos de menores cuyas madres han presentado denuncia</w:t>
      </w:r>
      <w:r w:rsidR="00843BDB">
        <w:t xml:space="preserve"> de abusos sexuales</w:t>
      </w:r>
      <w:r w:rsidR="001E592A">
        <w:t xml:space="preserve"> en el que se afirma</w:t>
      </w:r>
      <w:r w:rsidR="00C010F5">
        <w:t xml:space="preserve"> </w:t>
      </w:r>
      <w:r w:rsidR="003843A2">
        <w:t xml:space="preserve"> “</w:t>
      </w:r>
      <w:r w:rsidR="003843A2" w:rsidRPr="003843A2">
        <w:rPr>
          <w:rFonts w:cs="Gill Sans Std Light"/>
          <w:i/>
          <w:color w:val="000000"/>
          <w:sz w:val="23"/>
          <w:szCs w:val="23"/>
        </w:rPr>
        <w:t xml:space="preserve">En todos los casos documentados, los denunciados relacionan la denuncia de abusos sexuales con el denominado Síndrome de Alienación Parental (SAP) o manipulación materna con el fin de separarles de sus hijos e hijas. El rechazo de las y los pequeños al contacto con </w:t>
      </w:r>
      <w:proofErr w:type="gramStart"/>
      <w:r w:rsidR="003843A2" w:rsidRPr="003843A2">
        <w:rPr>
          <w:rFonts w:cs="Gill Sans Std Light"/>
          <w:i/>
          <w:color w:val="000000"/>
          <w:sz w:val="23"/>
          <w:szCs w:val="23"/>
        </w:rPr>
        <w:t>el</w:t>
      </w:r>
      <w:proofErr w:type="gramEnd"/>
      <w:r w:rsidR="003843A2" w:rsidRPr="003843A2">
        <w:rPr>
          <w:rFonts w:cs="Gill Sans Std Light"/>
          <w:i/>
          <w:color w:val="000000"/>
          <w:sz w:val="23"/>
          <w:szCs w:val="23"/>
        </w:rPr>
        <w:t xml:space="preserve"> padres es utilizado como argumento para corroborar la efectiva existencia del SAP. En todos los casos analizados el denunciado inicia un pleito de modificación de medidas paterno-filiales en paralelo al proceso penal por abuso sexual y este doble proceso es identificado por el juzgado de instrucción penal como un dato importante para dudar de la versión de la madre como testigo. El beneficio del denunciado con estas actuaciones parece concreto: el archivo de la denuncia y la falta de medidas que le impliquen alejarse de la víctima. Lo que resulta preocupante no es que los denunciados pudieran utilizar este argumento para distraer la atención sobre la denuncia cursada, sino que los juzgados de instrucción y, en paralelo, los juzgados de familia tomen decisiones derivadas de dar crédito al argumento lo que podría conllevar situaciones de desprotección de los niños y las niñas</w:t>
      </w:r>
      <w:r w:rsidR="00816C6D">
        <w:rPr>
          <w:rFonts w:cs="Gill Sans Std Light"/>
          <w:i/>
          <w:color w:val="000000"/>
          <w:sz w:val="23"/>
          <w:szCs w:val="23"/>
        </w:rPr>
        <w:t>”.</w:t>
      </w:r>
    </w:p>
    <w:p w:rsidR="004244CF" w:rsidRDefault="004244CF" w:rsidP="00A83264">
      <w:pPr>
        <w:ind w:firstLine="708"/>
        <w:jc w:val="both"/>
      </w:pPr>
    </w:p>
    <w:p w:rsidR="00A83264" w:rsidRDefault="00A83264" w:rsidP="00A83264">
      <w:pPr>
        <w:ind w:firstLine="708"/>
        <w:jc w:val="both"/>
      </w:pPr>
      <w:r>
        <w:t>La preocupación por los menores</w:t>
      </w:r>
      <w:r w:rsidR="00B72C22">
        <w:t xml:space="preserve"> y las madres afectada</w:t>
      </w:r>
      <w:r>
        <w:t xml:space="preserve">s junto al numeroso grupo de </w:t>
      </w:r>
      <w:r w:rsidR="00B72C22">
        <w:t>profesionales de la Psicología</w:t>
      </w:r>
      <w:r>
        <w:t xml:space="preserve"> que se ven involucrados</w:t>
      </w:r>
      <w:r w:rsidR="00B72C22">
        <w:t xml:space="preserve"> en estos procesos</w:t>
      </w:r>
      <w:r>
        <w:t xml:space="preserve"> </w:t>
      </w:r>
      <w:r w:rsidR="001462C2">
        <w:t xml:space="preserve">es razón más que suficiente para </w:t>
      </w:r>
      <w:r w:rsidR="00D4229B">
        <w:t xml:space="preserve">que nos paremos a </w:t>
      </w:r>
      <w:r w:rsidR="00503B98">
        <w:t>analizar</w:t>
      </w:r>
      <w:r w:rsidR="00CD30BA">
        <w:t xml:space="preserve"> </w:t>
      </w:r>
      <w:r w:rsidR="002E1AA9">
        <w:t xml:space="preserve">de </w:t>
      </w:r>
      <w:r w:rsidR="00E065D5">
        <w:t>qué</w:t>
      </w:r>
      <w:r w:rsidR="00EE6F90">
        <w:t xml:space="preserve"> </w:t>
      </w:r>
      <w:r w:rsidR="00CD30BA">
        <w:t>es</w:t>
      </w:r>
      <w:r w:rsidR="002E1AA9">
        <w:t>tamos hablando cuando hablamos del supuesto</w:t>
      </w:r>
      <w:r w:rsidR="00CD30BA">
        <w:t xml:space="preserve"> síndrome</w:t>
      </w:r>
      <w:r w:rsidR="002E1AA9">
        <w:t>.</w:t>
      </w:r>
      <w:r w:rsidR="006844FF">
        <w:t xml:space="preserve"> </w:t>
      </w:r>
    </w:p>
    <w:p w:rsidR="00414349" w:rsidRPr="00025D28" w:rsidRDefault="00414349" w:rsidP="00414349">
      <w:pPr>
        <w:jc w:val="both"/>
        <w:rPr>
          <w:bCs/>
          <w:iCs/>
          <w:color w:val="333333"/>
        </w:rPr>
      </w:pPr>
    </w:p>
    <w:p w:rsidR="00414349" w:rsidRDefault="00414349" w:rsidP="00414349">
      <w:pPr>
        <w:jc w:val="both"/>
        <w:rPr>
          <w:bCs/>
          <w:iCs/>
          <w:color w:val="333333"/>
        </w:rPr>
      </w:pPr>
      <w:r>
        <w:rPr>
          <w:bCs/>
          <w:iCs/>
          <w:color w:val="333333"/>
        </w:rPr>
        <w:t>ARGUMENTOS OBVIOS PARA UNA POLEMICA SIN SENTIDO</w:t>
      </w:r>
    </w:p>
    <w:p w:rsidR="00414349" w:rsidRPr="00025D28" w:rsidRDefault="00414349" w:rsidP="00414349">
      <w:pPr>
        <w:jc w:val="both"/>
        <w:rPr>
          <w:bCs/>
          <w:iCs/>
          <w:color w:val="333333"/>
        </w:rPr>
      </w:pPr>
    </w:p>
    <w:p w:rsidR="004D7E6D" w:rsidRDefault="00F26557" w:rsidP="00597D50">
      <w:pPr>
        <w:ind w:firstLine="708"/>
        <w:jc w:val="both"/>
      </w:pPr>
      <w:r>
        <w:t xml:space="preserve"> </w:t>
      </w:r>
      <w:r w:rsidR="004D7E6D">
        <w:t xml:space="preserve">Nadie en contextos jurídicos, clínicos, educativos y sociales que haya tenido contacto con procesos litigiosos de divorcio por la custodia y/o el régimen de visitas de los/as hijos/as, puede negar la existencia  de intentos de manipulación de los hijos/as por parte de uno o ambos progenitores. Nadie niega esto y es por tanto lícito suponer que en </w:t>
      </w:r>
    </w:p>
    <w:p w:rsidR="004D7E6D" w:rsidRDefault="004D7E6D" w:rsidP="004D7E6D">
      <w:pPr>
        <w:jc w:val="both"/>
      </w:pPr>
      <w:proofErr w:type="gramStart"/>
      <w:r>
        <w:t>algunos</w:t>
      </w:r>
      <w:proofErr w:type="gramEnd"/>
      <w:r w:rsidR="009B71BB">
        <w:t xml:space="preserve"> de </w:t>
      </w:r>
      <w:r w:rsidR="00360D58">
        <w:t>estos procesos el hecho pueda darse</w:t>
      </w:r>
      <w:r>
        <w:t>.</w:t>
      </w:r>
      <w:r w:rsidR="00AC3BB4">
        <w:t xml:space="preserve"> La cuestión radica en si el </w:t>
      </w:r>
      <w:proofErr w:type="spellStart"/>
      <w:r w:rsidR="00AC3BB4">
        <w:t>sap</w:t>
      </w:r>
      <w:proofErr w:type="spellEnd"/>
      <w:r>
        <w:t xml:space="preserve"> es o no un síndrome médico/psicológico/psiquiátrico. En caso de ser considerado co</w:t>
      </w:r>
      <w:r w:rsidR="00AC3BB4">
        <w:t xml:space="preserve">mo tal, el diagnóstico de </w:t>
      </w:r>
      <w:proofErr w:type="spellStart"/>
      <w:r w:rsidR="00AC3BB4">
        <w:t>sap</w:t>
      </w:r>
      <w:proofErr w:type="spellEnd"/>
      <w:r>
        <w:t xml:space="preserve"> realizado por peritos forenses y/o profesionales de la salud mental cualificados para ello adquiere carácter de prueba. </w:t>
      </w:r>
      <w:r w:rsidRPr="00EF4F0A">
        <w:t>En caso contrario, al no existir un diagnóstico que se constituy</w:t>
      </w:r>
      <w:r>
        <w:t>a</w:t>
      </w:r>
      <w:r w:rsidRPr="00EF4F0A">
        <w:t xml:space="preserve"> en prueba, la supuesta manipulación debería ser probada</w:t>
      </w:r>
      <w:r>
        <w:t xml:space="preserve"> por los canales habituales en los juicios como cualquier otro elemento presente en el litigio</w:t>
      </w:r>
      <w:r w:rsidRPr="00EF4F0A">
        <w:t>.</w:t>
      </w:r>
      <w:r w:rsidR="00597D50">
        <w:t xml:space="preserve"> </w:t>
      </w:r>
    </w:p>
    <w:p w:rsidR="004D7E6D" w:rsidRDefault="004D7E6D" w:rsidP="004D7E6D">
      <w:pPr>
        <w:ind w:firstLine="708"/>
        <w:jc w:val="both"/>
      </w:pPr>
    </w:p>
    <w:p w:rsidR="004D7E6D" w:rsidRPr="00EF4F0A" w:rsidRDefault="004D7E6D" w:rsidP="004D7E6D">
      <w:pPr>
        <w:ind w:firstLine="708"/>
        <w:jc w:val="both"/>
      </w:pPr>
      <w:r>
        <w:t xml:space="preserve">Desde la acuñación/invención del término por Gardner hasta la actualidad, más </w:t>
      </w:r>
      <w:r w:rsidR="001573E7">
        <w:t xml:space="preserve">   </w:t>
      </w:r>
      <w:r>
        <w:t xml:space="preserve">de tres </w:t>
      </w:r>
      <w:r w:rsidR="00AC3BB4">
        <w:t xml:space="preserve">décadas, los partidarios del </w:t>
      </w:r>
      <w:proofErr w:type="spellStart"/>
      <w:r w:rsidR="00AC3BB4">
        <w:t>sap</w:t>
      </w:r>
      <w:proofErr w:type="spellEnd"/>
      <w:r>
        <w:t xml:space="preserve"> han intentado que sea reconocido</w:t>
      </w:r>
      <w:r w:rsidR="004B659B">
        <w:t xml:space="preserve"> como síndrome médico</w:t>
      </w:r>
      <w:r>
        <w:t xml:space="preserve"> con un r</w:t>
      </w:r>
      <w:r w:rsidR="004B659B">
        <w:t xml:space="preserve">esultado absolutamente negativo. </w:t>
      </w:r>
      <w:r w:rsidR="00070677">
        <w:t xml:space="preserve">Y por más que lo hayan intentado a lo </w:t>
      </w:r>
      <w:r w:rsidR="00070677">
        <w:lastRenderedPageBreak/>
        <w:t>largo de los años úni</w:t>
      </w:r>
      <w:r w:rsidR="006249E9">
        <w:t>camente</w:t>
      </w:r>
      <w:r w:rsidR="004B659B">
        <w:t xml:space="preserve"> </w:t>
      </w:r>
      <w:r w:rsidR="006249E9">
        <w:t xml:space="preserve">en determinados </w:t>
      </w:r>
      <w:r w:rsidR="004B659B">
        <w:t xml:space="preserve">ámbitos judiciales </w:t>
      </w:r>
      <w:r w:rsidR="00EB5669">
        <w:t>han conseguido que se le conceda</w:t>
      </w:r>
      <w:r w:rsidR="006249E9">
        <w:t xml:space="preserve"> </w:t>
      </w:r>
      <w:r w:rsidR="00EB5669">
        <w:t>veracidad al supuesto síndrome. No deja</w:t>
      </w:r>
      <w:r w:rsidR="00D93ED5">
        <w:t xml:space="preserve"> de resultar sorprendente que </w:t>
      </w:r>
      <w:r w:rsidR="00EB5669">
        <w:t xml:space="preserve"> las instituciones</w:t>
      </w:r>
      <w:r w:rsidR="00F54579">
        <w:t xml:space="preserve"> sanitarias</w:t>
      </w:r>
      <w:r w:rsidR="00D93ED5">
        <w:t xml:space="preserve"> </w:t>
      </w:r>
      <w:r w:rsidR="001263FE">
        <w:t>(</w:t>
      </w:r>
      <w:r w:rsidR="00D93ED5">
        <w:t>médi</w:t>
      </w:r>
      <w:r w:rsidR="001263FE">
        <w:t>cas, psiquiátricas, psicológicas)</w:t>
      </w:r>
      <w:r w:rsidR="00EB5669">
        <w:t xml:space="preserve"> que tienen la capacidad para determinar</w:t>
      </w:r>
      <w:r w:rsidR="004B659B">
        <w:t xml:space="preserve"> </w:t>
      </w:r>
      <w:r w:rsidR="00F54579">
        <w:t>la pertinencia de los diagnóstico</w:t>
      </w:r>
      <w:r w:rsidR="00317C4A">
        <w:t xml:space="preserve">s se hayan manifestado siempre en contra y sean precisamente </w:t>
      </w:r>
      <w:r w:rsidR="00E26B12">
        <w:t>algunas</w:t>
      </w:r>
      <w:r w:rsidR="00317C4A">
        <w:t xml:space="preserve"> instancias judiciales</w:t>
      </w:r>
      <w:r w:rsidR="00E26B12">
        <w:t xml:space="preserve"> sin capacidad alguna para determinar su pertinencia quienes la acepten. </w:t>
      </w:r>
      <w:r w:rsidRPr="00FB63C9">
        <w:rPr>
          <w:rFonts w:ascii="Verdana" w:hAnsi="Verdana"/>
          <w:b/>
          <w:sz w:val="22"/>
          <w:szCs w:val="22"/>
          <w:lang w:val="es-ES_tradnl"/>
        </w:rPr>
        <w:t xml:space="preserve"> </w:t>
      </w:r>
    </w:p>
    <w:p w:rsidR="004D7E6D" w:rsidRDefault="004D7E6D" w:rsidP="004D7E6D">
      <w:pPr>
        <w:ind w:firstLine="708"/>
        <w:jc w:val="both"/>
        <w:rPr>
          <w:bCs/>
          <w:lang w:val="es-ES_tradnl"/>
        </w:rPr>
      </w:pPr>
    </w:p>
    <w:p w:rsidR="004D7E6D" w:rsidRDefault="004F1619" w:rsidP="004D7E6D">
      <w:pPr>
        <w:ind w:firstLine="708"/>
        <w:jc w:val="both"/>
        <w:rPr>
          <w:lang w:val="es-ES_tradnl"/>
        </w:rPr>
      </w:pPr>
      <w:r>
        <w:rPr>
          <w:bCs/>
          <w:lang w:val="es-ES_tradnl"/>
        </w:rPr>
        <w:t>De todas formas e</w:t>
      </w:r>
      <w:r w:rsidR="004D7E6D" w:rsidRPr="00844290">
        <w:rPr>
          <w:bCs/>
          <w:lang w:val="es-ES_tradnl"/>
        </w:rPr>
        <w:t xml:space="preserve">n el ámbito jurídico de EEUU </w:t>
      </w:r>
      <w:r w:rsidR="004D7E6D" w:rsidRPr="00FB63C9">
        <w:rPr>
          <w:bCs/>
          <w:lang w:val="es-ES_tradnl"/>
        </w:rPr>
        <w:t xml:space="preserve">Jennifer </w:t>
      </w:r>
      <w:proofErr w:type="spellStart"/>
      <w:r w:rsidR="004D7E6D" w:rsidRPr="00FB63C9">
        <w:rPr>
          <w:bCs/>
          <w:lang w:val="es-ES_tradnl"/>
        </w:rPr>
        <w:t>Hoult</w:t>
      </w:r>
      <w:proofErr w:type="spellEnd"/>
      <w:r w:rsidR="004D7E6D" w:rsidRPr="00FB63C9">
        <w:rPr>
          <w:bCs/>
          <w:lang w:val="es-ES_tradnl"/>
        </w:rPr>
        <w:t>, J.D</w:t>
      </w:r>
      <w:r w:rsidR="004D7E6D" w:rsidRPr="00FB63C9">
        <w:rPr>
          <w:bCs/>
          <w:i/>
          <w:lang w:val="es-ES_tradnl"/>
        </w:rPr>
        <w:t>.</w:t>
      </w:r>
      <w:r w:rsidR="004D7E6D" w:rsidRPr="00FB63C9">
        <w:rPr>
          <w:bCs/>
          <w:lang w:val="es-ES_tradnl"/>
        </w:rPr>
        <w:t xml:space="preserve"> </w:t>
      </w:r>
      <w:proofErr w:type="spellStart"/>
      <w:r w:rsidR="004D7E6D" w:rsidRPr="00FB63C9">
        <w:rPr>
          <w:bCs/>
          <w:i/>
          <w:lang w:val="es-ES_tradnl"/>
        </w:rPr>
        <w:t>Law</w:t>
      </w:r>
      <w:proofErr w:type="spellEnd"/>
      <w:r w:rsidR="004D7E6D" w:rsidRPr="00FB63C9">
        <w:rPr>
          <w:bCs/>
          <w:i/>
          <w:lang w:val="es-ES_tradnl"/>
        </w:rPr>
        <w:t xml:space="preserve"> </w:t>
      </w:r>
      <w:proofErr w:type="spellStart"/>
      <w:r w:rsidR="004D7E6D" w:rsidRPr="00FB63C9">
        <w:rPr>
          <w:bCs/>
          <w:i/>
          <w:lang w:val="es-ES_tradnl"/>
        </w:rPr>
        <w:t>Guardian</w:t>
      </w:r>
      <w:proofErr w:type="spellEnd"/>
      <w:r w:rsidR="00C77DE0">
        <w:rPr>
          <w:rStyle w:val="Refdenotaalpie"/>
          <w:bCs/>
          <w:i/>
          <w:lang w:val="es-ES_tradnl"/>
        </w:rPr>
        <w:footnoteReference w:id="1"/>
      </w:r>
      <w:r w:rsidR="004D7E6D" w:rsidRPr="00FB63C9">
        <w:rPr>
          <w:bCs/>
          <w:lang w:val="es-ES_tradnl"/>
        </w:rPr>
        <w:t xml:space="preserve"> en Kings County, N.Y,</w:t>
      </w:r>
      <w:r w:rsidR="004D7E6D" w:rsidRPr="00496752">
        <w:rPr>
          <w:rFonts w:ascii="Verdana" w:hAnsi="Verdana"/>
          <w:sz w:val="22"/>
          <w:szCs w:val="22"/>
          <w:lang w:val="es-ES_tradnl"/>
        </w:rPr>
        <w:t xml:space="preserve"> </w:t>
      </w:r>
      <w:r w:rsidR="001263FE">
        <w:rPr>
          <w:lang w:val="es-ES_tradnl"/>
        </w:rPr>
        <w:t>realiz</w:t>
      </w:r>
      <w:r w:rsidR="00C91188">
        <w:rPr>
          <w:lang w:val="es-ES_tradnl"/>
        </w:rPr>
        <w:t>ó</w:t>
      </w:r>
      <w:r w:rsidR="004D7E6D">
        <w:rPr>
          <w:lang w:val="es-ES_tradnl"/>
        </w:rPr>
        <w:t xml:space="preserve"> en 2006</w:t>
      </w:r>
      <w:r w:rsidR="004D7E6D" w:rsidRPr="00FB63C9">
        <w:rPr>
          <w:lang w:val="es-ES_tradnl"/>
        </w:rPr>
        <w:t xml:space="preserve"> un extenso y exhaustivo trabajo de investigación </w:t>
      </w:r>
      <w:r w:rsidR="004D7E6D">
        <w:rPr>
          <w:lang w:val="es-ES_tradnl"/>
        </w:rPr>
        <w:t xml:space="preserve"> en el que nos dice: </w:t>
      </w:r>
    </w:p>
    <w:p w:rsidR="004D7E6D" w:rsidRDefault="004D7E6D" w:rsidP="004D7E6D">
      <w:pPr>
        <w:jc w:val="both"/>
        <w:rPr>
          <w:rFonts w:ascii="Verdana" w:hAnsi="Verdana"/>
          <w:sz w:val="22"/>
          <w:lang w:val="es-ES_tradnl"/>
        </w:rPr>
      </w:pPr>
      <w:r w:rsidRPr="000B0409">
        <w:rPr>
          <w:bCs/>
          <w:i/>
          <w:iCs/>
          <w:lang w:val="es-ES_tradnl"/>
        </w:rPr>
        <w:t>“Este artículo presenta el primer análisis exhaustivo de las cuestiones científicas, legales y políticas  involucradas  en la</w:t>
      </w:r>
      <w:r>
        <w:rPr>
          <w:bCs/>
          <w:i/>
          <w:iCs/>
          <w:lang w:val="es-ES_tradnl"/>
        </w:rPr>
        <w:t xml:space="preserve"> admisibilidad probatoria del </w:t>
      </w:r>
      <w:r w:rsidRPr="000B0409">
        <w:rPr>
          <w:bCs/>
          <w:i/>
          <w:iCs/>
          <w:lang w:val="es-ES_tradnl"/>
        </w:rPr>
        <w:t>S</w:t>
      </w:r>
      <w:r>
        <w:rPr>
          <w:bCs/>
          <w:i/>
          <w:iCs/>
          <w:lang w:val="es-ES_tradnl"/>
        </w:rPr>
        <w:t>AP</w:t>
      </w:r>
      <w:r w:rsidRPr="000B0409">
        <w:rPr>
          <w:bCs/>
          <w:i/>
          <w:iCs/>
          <w:lang w:val="es-ES_tradnl"/>
        </w:rPr>
        <w:t>. Como toda nuev</w:t>
      </w:r>
      <w:r>
        <w:rPr>
          <w:bCs/>
          <w:i/>
          <w:iCs/>
          <w:lang w:val="es-ES_tradnl"/>
        </w:rPr>
        <w:t xml:space="preserve">a teoría, la admisibilidad del </w:t>
      </w:r>
      <w:r w:rsidRPr="000B0409">
        <w:rPr>
          <w:bCs/>
          <w:i/>
          <w:iCs/>
          <w:lang w:val="es-ES_tradnl"/>
        </w:rPr>
        <w:t>S</w:t>
      </w:r>
      <w:r>
        <w:rPr>
          <w:bCs/>
          <w:i/>
          <w:iCs/>
          <w:lang w:val="es-ES_tradnl"/>
        </w:rPr>
        <w:t>AP</w:t>
      </w:r>
      <w:r w:rsidRPr="000B0409">
        <w:rPr>
          <w:bCs/>
          <w:i/>
          <w:iCs/>
          <w:lang w:val="es-ES_tradnl"/>
        </w:rPr>
        <w:t xml:space="preserve"> se halla sostenida por una serie de pruebas estándares que buscan  proteger el foro legal de la influencia de  las </w:t>
      </w:r>
      <w:proofErr w:type="spellStart"/>
      <w:r w:rsidRPr="000B0409">
        <w:rPr>
          <w:bCs/>
          <w:i/>
          <w:iCs/>
          <w:lang w:val="es-ES_tradnl"/>
        </w:rPr>
        <w:t>pseudo</w:t>
      </w:r>
      <w:proofErr w:type="spellEnd"/>
      <w:r w:rsidRPr="000B0409">
        <w:rPr>
          <w:bCs/>
          <w:i/>
          <w:iCs/>
          <w:lang w:val="es-ES_tradnl"/>
        </w:rPr>
        <w:t xml:space="preserve">-ciencias. Este artículo analiza cada </w:t>
      </w:r>
      <w:r w:rsidR="00C91188">
        <w:rPr>
          <w:bCs/>
          <w:i/>
          <w:iCs/>
          <w:lang w:val="es-ES_tradnl"/>
        </w:rPr>
        <w:t>decisión  que sentó precedentes</w:t>
      </w:r>
      <w:r w:rsidRPr="000B0409">
        <w:rPr>
          <w:bCs/>
          <w:i/>
          <w:iCs/>
          <w:lang w:val="es-ES_tradnl"/>
        </w:rPr>
        <w:t xml:space="preserve"> y los artículos de las revisiones de</w:t>
      </w:r>
      <w:r>
        <w:rPr>
          <w:bCs/>
          <w:i/>
          <w:iCs/>
          <w:lang w:val="es-ES_tradnl"/>
        </w:rPr>
        <w:t xml:space="preserve"> las leyes que se referían al </w:t>
      </w:r>
      <w:r w:rsidRPr="000B0409">
        <w:rPr>
          <w:bCs/>
          <w:i/>
          <w:iCs/>
          <w:lang w:val="es-ES_tradnl"/>
        </w:rPr>
        <w:t>S</w:t>
      </w:r>
      <w:r>
        <w:rPr>
          <w:bCs/>
          <w:i/>
          <w:iCs/>
          <w:lang w:val="es-ES_tradnl"/>
        </w:rPr>
        <w:t>AP</w:t>
      </w:r>
      <w:r w:rsidRPr="000B0409">
        <w:rPr>
          <w:bCs/>
          <w:i/>
          <w:iCs/>
          <w:lang w:val="es-ES_tradnl"/>
        </w:rPr>
        <w:t xml:space="preserve"> en los últimos veinte años, y se  encontró que  los</w:t>
      </w:r>
      <w:r>
        <w:rPr>
          <w:bCs/>
          <w:i/>
          <w:iCs/>
          <w:lang w:val="es-ES_tradnl"/>
        </w:rPr>
        <w:t xml:space="preserve"> antecedentes sostienen que el </w:t>
      </w:r>
      <w:r w:rsidRPr="000B0409">
        <w:rPr>
          <w:bCs/>
          <w:i/>
          <w:iCs/>
          <w:lang w:val="es-ES_tradnl"/>
        </w:rPr>
        <w:t>S</w:t>
      </w:r>
      <w:r>
        <w:rPr>
          <w:bCs/>
          <w:i/>
          <w:iCs/>
          <w:lang w:val="es-ES_tradnl"/>
        </w:rPr>
        <w:t>AP</w:t>
      </w:r>
      <w:r w:rsidRPr="000B0409">
        <w:rPr>
          <w:bCs/>
          <w:i/>
          <w:iCs/>
          <w:lang w:val="es-ES_tradnl"/>
        </w:rPr>
        <w:t xml:space="preserve"> es inadmisible y según la mayoría de la escolástica legal  es considerado negativ</w:t>
      </w:r>
      <w:r w:rsidR="00C91188">
        <w:rPr>
          <w:bCs/>
          <w:i/>
          <w:iCs/>
          <w:lang w:val="es-ES_tradnl"/>
        </w:rPr>
        <w:t>o…</w:t>
      </w:r>
      <w:r w:rsidRPr="000B0409">
        <w:rPr>
          <w:rFonts w:ascii="Verdana" w:hAnsi="Verdana"/>
          <w:bCs/>
          <w:i/>
          <w:iCs/>
          <w:sz w:val="22"/>
          <w:lang w:val="es-ES_tradnl"/>
        </w:rPr>
        <w:t xml:space="preserve"> </w:t>
      </w:r>
      <w:r w:rsidRPr="000B0409">
        <w:rPr>
          <w:bCs/>
          <w:i/>
          <w:iCs/>
          <w:lang w:val="es-ES_tradnl"/>
        </w:rPr>
        <w:t>El artículo analiza también</w:t>
      </w:r>
      <w:r>
        <w:rPr>
          <w:bCs/>
          <w:i/>
          <w:iCs/>
          <w:lang w:val="es-ES_tradnl"/>
        </w:rPr>
        <w:t xml:space="preserve"> los escritos del inventor del </w:t>
      </w:r>
      <w:r w:rsidRPr="000B0409">
        <w:rPr>
          <w:bCs/>
          <w:i/>
          <w:iCs/>
          <w:lang w:val="es-ES_tradnl"/>
        </w:rPr>
        <w:t>S</w:t>
      </w:r>
      <w:r>
        <w:rPr>
          <w:bCs/>
          <w:i/>
          <w:iCs/>
          <w:lang w:val="es-ES_tradnl"/>
        </w:rPr>
        <w:t>AP</w:t>
      </w:r>
      <w:r w:rsidRPr="000B0409">
        <w:rPr>
          <w:bCs/>
          <w:i/>
          <w:iCs/>
          <w:lang w:val="es-ES_tradnl"/>
        </w:rPr>
        <w:t xml:space="preserve">, el psiquiatra infantil Richard Gardner. Se incluyen veintitrés artículos de revisiones realizadas por pares  y  cincuenta decisiones legales  que </w:t>
      </w:r>
      <w:proofErr w:type="spellStart"/>
      <w:r w:rsidRPr="000B0409">
        <w:rPr>
          <w:bCs/>
          <w:i/>
          <w:iCs/>
          <w:lang w:val="es-ES_tradnl"/>
        </w:rPr>
        <w:t>el</w:t>
      </w:r>
      <w:proofErr w:type="spellEnd"/>
      <w:r w:rsidRPr="000B0409">
        <w:rPr>
          <w:bCs/>
          <w:i/>
          <w:iCs/>
          <w:lang w:val="es-ES_tradnl"/>
        </w:rPr>
        <w:t xml:space="preserve"> ha citado para ap</w:t>
      </w:r>
      <w:r w:rsidR="00155DC8">
        <w:rPr>
          <w:bCs/>
          <w:i/>
          <w:iCs/>
          <w:lang w:val="es-ES_tradnl"/>
        </w:rPr>
        <w:t>oyar su pretensión de que el SAP</w:t>
      </w:r>
      <w:r w:rsidRPr="000B0409">
        <w:rPr>
          <w:bCs/>
          <w:i/>
          <w:iCs/>
          <w:lang w:val="es-ES_tradnl"/>
        </w:rPr>
        <w:t xml:space="preserve"> tiene  validez científica y es admisible legalmente, hemos encontrado que todo este material no sostiene  ni la existencia  </w:t>
      </w:r>
      <w:r>
        <w:rPr>
          <w:bCs/>
          <w:i/>
          <w:iCs/>
          <w:lang w:val="es-ES_tradnl"/>
        </w:rPr>
        <w:t xml:space="preserve">ni la admisibilidad legal del </w:t>
      </w:r>
      <w:r w:rsidRPr="000B0409">
        <w:rPr>
          <w:bCs/>
          <w:i/>
          <w:iCs/>
          <w:lang w:val="es-ES_tradnl"/>
        </w:rPr>
        <w:t>S</w:t>
      </w:r>
      <w:r w:rsidR="00C91188">
        <w:rPr>
          <w:bCs/>
          <w:i/>
          <w:iCs/>
          <w:lang w:val="es-ES_tradnl"/>
        </w:rPr>
        <w:t>AP</w:t>
      </w:r>
      <w:r w:rsidRPr="00C91188">
        <w:rPr>
          <w:bCs/>
          <w:i/>
          <w:iCs/>
          <w:lang w:val="es-ES_tradnl"/>
        </w:rPr>
        <w:t>.</w:t>
      </w:r>
      <w:r w:rsidRPr="00496752">
        <w:rPr>
          <w:rFonts w:ascii="Verdana" w:hAnsi="Verdana"/>
          <w:sz w:val="22"/>
          <w:lang w:val="es-ES_tradnl"/>
        </w:rPr>
        <w:t xml:space="preserve"> </w:t>
      </w:r>
    </w:p>
    <w:p w:rsidR="002846A2" w:rsidRDefault="002846A2" w:rsidP="004D7E6D">
      <w:pPr>
        <w:jc w:val="both"/>
        <w:rPr>
          <w:rFonts w:ascii="Verdana" w:hAnsi="Verdana"/>
          <w:sz w:val="22"/>
          <w:lang w:val="es-ES_tradnl"/>
        </w:rPr>
      </w:pPr>
    </w:p>
    <w:p w:rsidR="002846A2" w:rsidRDefault="002846A2" w:rsidP="002846A2">
      <w:pPr>
        <w:ind w:firstLine="708"/>
        <w:jc w:val="both"/>
      </w:pPr>
      <w:r w:rsidRPr="00844290">
        <w:rPr>
          <w:lang w:val="es-ES_tradnl"/>
        </w:rPr>
        <w:t xml:space="preserve">En el </w:t>
      </w:r>
      <w:r>
        <w:rPr>
          <w:lang w:val="es-ES_tradnl"/>
        </w:rPr>
        <w:t>ámbito sanitario</w:t>
      </w:r>
      <w:r>
        <w:rPr>
          <w:rFonts w:ascii="Verdana" w:hAnsi="Verdana"/>
          <w:sz w:val="22"/>
          <w:lang w:val="es-ES_tradnl"/>
        </w:rPr>
        <w:t xml:space="preserve"> </w:t>
      </w:r>
      <w:r>
        <w:rPr>
          <w:lang w:val="es-ES_tradnl"/>
        </w:rPr>
        <w:t>e</w:t>
      </w:r>
      <w:r w:rsidR="00F42374">
        <w:t xml:space="preserve">n la actualidad el </w:t>
      </w:r>
      <w:proofErr w:type="spellStart"/>
      <w:r w:rsidR="00F42374">
        <w:t>sap</w:t>
      </w:r>
      <w:proofErr w:type="spellEnd"/>
      <w:r>
        <w:t xml:space="preserve"> no es considerado como tal por la Asociación de Psicología Americana, Asociación Médica Americana, Asociación Psiquiátrica Americana, ni por la O</w:t>
      </w:r>
      <w:r w:rsidR="00F125C2">
        <w:t>rganización Mundial de la Salud</w:t>
      </w:r>
      <w:r>
        <w:t>, ni está incluida en sus respectivas clasificaciones de las enfermedades ment</w:t>
      </w:r>
      <w:r w:rsidR="00F125C2">
        <w:t>ales</w:t>
      </w:r>
      <w:r w:rsidR="00A07D91">
        <w:t>: DSM V (ni en su</w:t>
      </w:r>
      <w:r w:rsidR="002D50CB">
        <w:t xml:space="preserve">s anteriores versiones) </w:t>
      </w:r>
      <w:r>
        <w:t>y CIE 10. En cuanto a las medidas terapéuticas que se sugieren ante el supuesto Síndrome un importante grupo de prestigiosos profesionales españ</w:t>
      </w:r>
      <w:r w:rsidR="00F125C2">
        <w:t>oles de la Medicina y la Salud M</w:t>
      </w:r>
      <w:r>
        <w:t xml:space="preserve">ental nos advierte </w:t>
      </w:r>
      <w:r w:rsidR="00F125C2">
        <w:t xml:space="preserve">en 2007 </w:t>
      </w:r>
      <w:r>
        <w:t>que:</w:t>
      </w:r>
    </w:p>
    <w:p w:rsidR="002846A2" w:rsidRDefault="002846A2" w:rsidP="000823D5">
      <w:pPr>
        <w:jc w:val="both"/>
        <w:rPr>
          <w:i/>
          <w:color w:val="000000"/>
        </w:rPr>
      </w:pPr>
      <w:r>
        <w:t xml:space="preserve"> </w:t>
      </w:r>
      <w:r w:rsidRPr="000042A1">
        <w:rPr>
          <w:i/>
          <w:color w:val="000000"/>
        </w:rPr>
        <w:t xml:space="preserve">“El pretendido tratamiento (multas, pérdidas permanentes de custodia, prisión, centros de detención juvenil), es exclusivamente coacción legal inútil y contraproducente, que empeora la situación, deja secuelas en los niños/as y en algunos casos documentados ha tenido graves consecuencias. La intervención legal recomendada por el </w:t>
      </w:r>
      <w:r>
        <w:rPr>
          <w:i/>
          <w:color w:val="000000"/>
        </w:rPr>
        <w:t>S</w:t>
      </w:r>
      <w:r w:rsidRPr="000042A1">
        <w:rPr>
          <w:i/>
          <w:color w:val="000000"/>
        </w:rPr>
        <w:t>AP lleva en la práctica a una eliminación de los derechos de los niños/as en nombre de la salud psicológica. La salida de los niños/as del hogar materno en el que se han criado satisfactoriamente, para ir a vivir con un padre al que temen, deja una huella traumática que dura muchos años. Se deja al menor en muchos casos en una situación de riesgo extremo, promovida por la justicia</w:t>
      </w:r>
      <w:r>
        <w:rPr>
          <w:i/>
          <w:color w:val="000000"/>
        </w:rPr>
        <w:t>.</w:t>
      </w:r>
      <w:r w:rsidRPr="000042A1">
        <w:rPr>
          <w:rStyle w:val="Textoennegrita"/>
          <w:rFonts w:ascii="Georgia" w:hAnsi="Georgia"/>
          <w:i/>
          <w:color w:val="000000"/>
        </w:rPr>
        <w:t xml:space="preserve"> </w:t>
      </w:r>
      <w:r w:rsidRPr="000042A1">
        <w:rPr>
          <w:rStyle w:val="Textoennegrita"/>
          <w:b w:val="0"/>
          <w:i/>
          <w:color w:val="000000"/>
        </w:rPr>
        <w:t>Dadas estas violaciones de la ética médica y las obligaciones legales, el tratamiento del SAP constituye en sí mismo una mala praxis médica</w:t>
      </w:r>
      <w:r w:rsidRPr="000042A1">
        <w:rPr>
          <w:i/>
          <w:color w:val="000000"/>
        </w:rPr>
        <w:t xml:space="preserve">”. </w:t>
      </w:r>
    </w:p>
    <w:p w:rsidR="002254E8" w:rsidRDefault="002254E8" w:rsidP="00414349"/>
    <w:p w:rsidR="002254E8" w:rsidRPr="00916676" w:rsidRDefault="00916676" w:rsidP="00916676">
      <w:pPr>
        <w:ind w:firstLine="708"/>
        <w:jc w:val="both"/>
      </w:pPr>
      <w:r w:rsidRPr="00916676">
        <w:t>A lo largo de décadas e</w:t>
      </w:r>
      <w:r w:rsidR="002254E8" w:rsidRPr="00916676">
        <w:t>l supuesto síndrome ha sido rechazado por razones de muy diversa índole:</w:t>
      </w:r>
    </w:p>
    <w:p w:rsidR="002254E8" w:rsidRPr="00916676" w:rsidRDefault="002254E8" w:rsidP="00916676">
      <w:pPr>
        <w:ind w:firstLine="708"/>
        <w:jc w:val="both"/>
      </w:pPr>
    </w:p>
    <w:p w:rsidR="00992334" w:rsidRPr="00916676" w:rsidRDefault="00A83468" w:rsidP="00916676">
      <w:pPr>
        <w:autoSpaceDE w:val="0"/>
        <w:autoSpaceDN w:val="0"/>
        <w:adjustRightInd w:val="0"/>
        <w:ind w:firstLine="708"/>
        <w:jc w:val="both"/>
      </w:pPr>
      <w:r>
        <w:t xml:space="preserve">Desde </w:t>
      </w:r>
      <w:r w:rsidR="002254E8" w:rsidRPr="00916676">
        <w:t xml:space="preserve">una perspectiva metodológica está demostrado que carece de la más mínima fundamentación puesto que no hay pruebas que lo convaliden, no se han </w:t>
      </w:r>
      <w:r w:rsidR="002254E8" w:rsidRPr="00916676">
        <w:lastRenderedPageBreak/>
        <w:t>presentado instrumentos de medición fiables, no encuen</w:t>
      </w:r>
      <w:r>
        <w:t xml:space="preserve">tran análisis de pares (peer </w:t>
      </w:r>
      <w:proofErr w:type="spellStart"/>
      <w:r>
        <w:t>rev</w:t>
      </w:r>
      <w:r w:rsidR="00765253">
        <w:t>iew</w:t>
      </w:r>
      <w:proofErr w:type="spellEnd"/>
      <w:r w:rsidR="00765253">
        <w:t>) en revistas científicas</w:t>
      </w:r>
      <w:r w:rsidR="002254E8" w:rsidRPr="00916676">
        <w:t xml:space="preserve"> y las muestras de casos que Gardner enuncia en sus publicaciones</w:t>
      </w:r>
      <w:r w:rsidR="00B73C75">
        <w:t>, auto</w:t>
      </w:r>
      <w:r w:rsidR="00EF49DA">
        <w:t xml:space="preserve"> </w:t>
      </w:r>
      <w:r w:rsidR="00B73C75">
        <w:t xml:space="preserve">editadas las más de las veces, (como por ejemplo su artículo de 2004 </w:t>
      </w:r>
      <w:proofErr w:type="spellStart"/>
      <w:r w:rsidR="00B73C75">
        <w:rPr>
          <w:i/>
        </w:rPr>
        <w:t>The</w:t>
      </w:r>
      <w:proofErr w:type="spellEnd"/>
      <w:r w:rsidR="00B73C75">
        <w:rPr>
          <w:i/>
        </w:rPr>
        <w:t xml:space="preserve"> </w:t>
      </w:r>
      <w:proofErr w:type="spellStart"/>
      <w:r w:rsidR="00B73C75">
        <w:rPr>
          <w:i/>
        </w:rPr>
        <w:t>relationship</w:t>
      </w:r>
      <w:proofErr w:type="spellEnd"/>
      <w:r w:rsidR="00B73C75">
        <w:rPr>
          <w:i/>
        </w:rPr>
        <w:t xml:space="preserve"> </w:t>
      </w:r>
      <w:proofErr w:type="spellStart"/>
      <w:r w:rsidR="00B73C75">
        <w:rPr>
          <w:i/>
        </w:rPr>
        <w:t>between</w:t>
      </w:r>
      <w:proofErr w:type="spellEnd"/>
      <w:r w:rsidR="00B73C75">
        <w:rPr>
          <w:i/>
        </w:rPr>
        <w:t xml:space="preserve"> </w:t>
      </w:r>
      <w:proofErr w:type="spellStart"/>
      <w:r w:rsidR="00B73C75">
        <w:rPr>
          <w:i/>
        </w:rPr>
        <w:t>the</w:t>
      </w:r>
      <w:proofErr w:type="spellEnd"/>
      <w:r w:rsidR="00B73C75">
        <w:rPr>
          <w:i/>
        </w:rPr>
        <w:t xml:space="preserve"> Parental </w:t>
      </w:r>
      <w:proofErr w:type="spellStart"/>
      <w:r w:rsidR="00B73C75">
        <w:rPr>
          <w:i/>
        </w:rPr>
        <w:t>Ali</w:t>
      </w:r>
      <w:r w:rsidR="00C11A0F">
        <w:rPr>
          <w:i/>
        </w:rPr>
        <w:t>enation</w:t>
      </w:r>
      <w:proofErr w:type="spellEnd"/>
      <w:r w:rsidR="00C11A0F">
        <w:rPr>
          <w:i/>
        </w:rPr>
        <w:t xml:space="preserve"> </w:t>
      </w:r>
      <w:proofErr w:type="spellStart"/>
      <w:r w:rsidR="00C11A0F">
        <w:rPr>
          <w:i/>
        </w:rPr>
        <w:t>Syndrome</w:t>
      </w:r>
      <w:proofErr w:type="spellEnd"/>
      <w:r w:rsidR="00C11A0F">
        <w:rPr>
          <w:i/>
        </w:rPr>
        <w:t xml:space="preserve"> (PAS) and </w:t>
      </w:r>
      <w:proofErr w:type="spellStart"/>
      <w:r w:rsidR="00C11A0F">
        <w:rPr>
          <w:i/>
        </w:rPr>
        <w:t>the</w:t>
      </w:r>
      <w:proofErr w:type="spellEnd"/>
      <w:r w:rsidR="00C11A0F">
        <w:rPr>
          <w:i/>
        </w:rPr>
        <w:t xml:space="preserve"> False </w:t>
      </w:r>
      <w:proofErr w:type="spellStart"/>
      <w:r w:rsidR="00C11A0F">
        <w:rPr>
          <w:i/>
        </w:rPr>
        <w:t>Memory</w:t>
      </w:r>
      <w:proofErr w:type="spellEnd"/>
      <w:r w:rsidR="00C11A0F">
        <w:rPr>
          <w:i/>
        </w:rPr>
        <w:t xml:space="preserve"> </w:t>
      </w:r>
      <w:proofErr w:type="spellStart"/>
      <w:r w:rsidR="00C11A0F">
        <w:rPr>
          <w:i/>
        </w:rPr>
        <w:t>Syndrome</w:t>
      </w:r>
      <w:proofErr w:type="spellEnd"/>
      <w:r w:rsidR="00C11A0F">
        <w:rPr>
          <w:i/>
        </w:rPr>
        <w:t xml:space="preserve">, </w:t>
      </w:r>
      <w:r w:rsidR="00B73C75">
        <w:rPr>
          <w:i/>
        </w:rPr>
        <w:t>FMS</w:t>
      </w:r>
      <w:r w:rsidR="00C11A0F">
        <w:rPr>
          <w:i/>
        </w:rPr>
        <w:t>)</w:t>
      </w:r>
      <w:r w:rsidR="002254E8" w:rsidRPr="00916676">
        <w:t xml:space="preserve"> no han sido corroboradas.</w:t>
      </w:r>
      <w:r w:rsidR="00110E79" w:rsidRPr="00916676">
        <w:t xml:space="preserve"> </w:t>
      </w:r>
    </w:p>
    <w:p w:rsidR="002254E8" w:rsidRPr="00916676" w:rsidRDefault="00110E79" w:rsidP="00916676">
      <w:pPr>
        <w:autoSpaceDE w:val="0"/>
        <w:autoSpaceDN w:val="0"/>
        <w:adjustRightInd w:val="0"/>
        <w:jc w:val="both"/>
        <w:rPr>
          <w:rFonts w:eastAsiaTheme="minorHAnsi"/>
          <w:i/>
          <w:lang w:eastAsia="en-US"/>
        </w:rPr>
      </w:pPr>
      <w:r w:rsidRPr="00916676">
        <w:rPr>
          <w:i/>
        </w:rPr>
        <w:t>“</w:t>
      </w:r>
      <w:r w:rsidRPr="00916676">
        <w:rPr>
          <w:rFonts w:eastAsiaTheme="minorHAnsi"/>
          <w:i/>
          <w:lang w:eastAsia="en-US"/>
        </w:rPr>
        <w:t xml:space="preserve">Las bases sobre las que </w:t>
      </w:r>
      <w:r w:rsidRPr="00916676">
        <w:rPr>
          <w:rFonts w:eastAsiaTheme="minorHAnsi"/>
          <w:bCs/>
          <w:i/>
          <w:lang w:eastAsia="en-US"/>
        </w:rPr>
        <w:t>se construye el “castillo en el aire” del SAP</w:t>
      </w:r>
      <w:r w:rsidRPr="00916676">
        <w:rPr>
          <w:rFonts w:eastAsiaTheme="minorHAnsi"/>
          <w:b/>
          <w:bCs/>
          <w:i/>
          <w:lang w:eastAsia="en-US"/>
        </w:rPr>
        <w:t xml:space="preserve"> </w:t>
      </w:r>
      <w:r w:rsidR="00DA59E7" w:rsidRPr="00916676">
        <w:rPr>
          <w:rFonts w:eastAsiaTheme="minorHAnsi"/>
          <w:i/>
          <w:lang w:eastAsia="en-US"/>
        </w:rPr>
        <w:t xml:space="preserve">corresponden a la </w:t>
      </w:r>
      <w:r w:rsidRPr="00916676">
        <w:rPr>
          <w:rFonts w:eastAsiaTheme="minorHAnsi"/>
          <w:i/>
          <w:lang w:eastAsia="en-US"/>
        </w:rPr>
        <w:t>descripción que hace R. Gardner en 1985 basándose en sus opinio</w:t>
      </w:r>
      <w:r w:rsidR="00DA59E7" w:rsidRPr="00916676">
        <w:rPr>
          <w:rFonts w:eastAsiaTheme="minorHAnsi"/>
          <w:i/>
          <w:lang w:eastAsia="en-US"/>
        </w:rPr>
        <w:t xml:space="preserve">nes personales y en </w:t>
      </w:r>
      <w:proofErr w:type="spellStart"/>
      <w:r w:rsidR="00DA59E7" w:rsidRPr="00916676">
        <w:rPr>
          <w:rFonts w:eastAsiaTheme="minorHAnsi"/>
          <w:i/>
          <w:lang w:eastAsia="en-US"/>
        </w:rPr>
        <w:t>autocitas</w:t>
      </w:r>
      <w:proofErr w:type="spellEnd"/>
      <w:r w:rsidR="00DA59E7" w:rsidRPr="00916676">
        <w:rPr>
          <w:rFonts w:eastAsiaTheme="minorHAnsi"/>
          <w:i/>
          <w:lang w:eastAsia="en-US"/>
        </w:rPr>
        <w:t xml:space="preserve">. </w:t>
      </w:r>
      <w:r w:rsidRPr="00916676">
        <w:rPr>
          <w:rFonts w:eastAsiaTheme="minorHAnsi"/>
          <w:i/>
          <w:lang w:eastAsia="en-US"/>
        </w:rPr>
        <w:t xml:space="preserve">En uno de sus artículos considerados </w:t>
      </w:r>
      <w:r w:rsidR="00AB5E81" w:rsidRPr="00916676">
        <w:rPr>
          <w:rFonts w:eastAsiaTheme="minorHAnsi"/>
          <w:i/>
          <w:lang w:eastAsia="en-US"/>
        </w:rPr>
        <w:t>‘</w:t>
      </w:r>
      <w:r w:rsidRPr="00916676">
        <w:rPr>
          <w:rFonts w:eastAsiaTheme="minorHAnsi"/>
          <w:i/>
          <w:lang w:eastAsia="en-US"/>
        </w:rPr>
        <w:t>seminales</w:t>
      </w:r>
      <w:r w:rsidR="00AB5E81" w:rsidRPr="00916676">
        <w:rPr>
          <w:rFonts w:eastAsiaTheme="minorHAnsi"/>
          <w:i/>
          <w:lang w:eastAsia="en-US"/>
        </w:rPr>
        <w:t>’</w:t>
      </w:r>
      <w:r w:rsidRPr="00916676">
        <w:rPr>
          <w:rFonts w:eastAsiaTheme="minorHAnsi"/>
          <w:i/>
          <w:lang w:eastAsia="en-US"/>
        </w:rPr>
        <w:t>, de 16</w:t>
      </w:r>
      <w:r w:rsidR="00DA59E7" w:rsidRPr="00916676">
        <w:rPr>
          <w:rFonts w:eastAsiaTheme="minorHAnsi"/>
          <w:i/>
          <w:lang w:eastAsia="en-US"/>
        </w:rPr>
        <w:t xml:space="preserve"> referencias bibliográficas, 15 </w:t>
      </w:r>
      <w:r w:rsidRPr="00916676">
        <w:rPr>
          <w:rFonts w:eastAsiaTheme="minorHAnsi"/>
          <w:i/>
          <w:lang w:eastAsia="en-US"/>
        </w:rPr>
        <w:t>corresponden a auto-citas de trabajos del propio Gardner</w:t>
      </w:r>
      <w:r w:rsidR="00DA59E7" w:rsidRPr="00916676">
        <w:rPr>
          <w:rFonts w:eastAsiaTheme="minorHAnsi"/>
          <w:i/>
          <w:lang w:eastAsia="en-US"/>
        </w:rPr>
        <w:t>”</w:t>
      </w:r>
      <w:r w:rsidR="00EF49DA">
        <w:rPr>
          <w:rFonts w:eastAsiaTheme="minorHAnsi"/>
          <w:i/>
          <w:lang w:eastAsia="en-US"/>
        </w:rPr>
        <w:t xml:space="preserve"> </w:t>
      </w:r>
      <w:r w:rsidR="00765253" w:rsidRPr="00EF49DA">
        <w:rPr>
          <w:rFonts w:eastAsiaTheme="minorHAnsi"/>
          <w:lang w:eastAsia="en-US"/>
        </w:rPr>
        <w:t>(AEN, 2010)</w:t>
      </w:r>
      <w:r w:rsidR="00EF49DA" w:rsidRPr="00EF49DA">
        <w:rPr>
          <w:rFonts w:eastAsiaTheme="minorHAnsi"/>
          <w:lang w:eastAsia="en-US"/>
        </w:rPr>
        <w:t>.</w:t>
      </w:r>
    </w:p>
    <w:p w:rsidR="002254E8" w:rsidRPr="00916676" w:rsidRDefault="002254E8" w:rsidP="00916676">
      <w:pPr>
        <w:ind w:firstLine="708"/>
        <w:jc w:val="both"/>
      </w:pPr>
      <w:r w:rsidRPr="00916676">
        <w:t>En segundo lugar se le critica desde una perspectiva jurídica puesto que invierte la carga de la prueba. Al ser utili</w:t>
      </w:r>
      <w:r w:rsidR="00EF49DA">
        <w:t>zado</w:t>
      </w:r>
      <w:r w:rsidRPr="00916676">
        <w:t xml:space="preserve"> “como si” fuera un síndrome médico/psicológico/psiquiátr</w:t>
      </w:r>
      <w:r w:rsidR="00737F05">
        <w:t>ico se constituye en prueba en sí</w:t>
      </w:r>
      <w:r w:rsidRPr="00916676">
        <w:t xml:space="preserve"> mismo. Esto entra en contradic</w:t>
      </w:r>
      <w:r w:rsidR="00737F05">
        <w:t>ción con un principio básico de nuestro</w:t>
      </w:r>
      <w:r w:rsidRPr="00916676">
        <w:t xml:space="preserve"> o</w:t>
      </w:r>
      <w:r w:rsidR="003C4DA4" w:rsidRPr="00916676">
        <w:t>rdenamiento constit</w:t>
      </w:r>
      <w:r w:rsidR="00D35B14">
        <w:t>uciona</w:t>
      </w:r>
      <w:r w:rsidR="003960E3">
        <w:t>l</w:t>
      </w:r>
      <w:r w:rsidR="00D35B14">
        <w:rPr>
          <w:rStyle w:val="Refdenotaalpie"/>
        </w:rPr>
        <w:footnoteReference w:id="2"/>
      </w:r>
      <w:r w:rsidR="00D35B14">
        <w:t xml:space="preserve"> </w:t>
      </w:r>
      <w:r w:rsidRPr="00916676">
        <w:t xml:space="preserve">, </w:t>
      </w:r>
      <w:r w:rsidR="00D35B14">
        <w:t xml:space="preserve">en </w:t>
      </w:r>
      <w:r w:rsidR="00737F05">
        <w:t xml:space="preserve">el </w:t>
      </w:r>
      <w:r w:rsidRPr="00916676">
        <w:t>que hace referencia a la presunción de inocencia. Una vez diagn</w:t>
      </w:r>
      <w:r w:rsidR="00B629AD">
        <w:t xml:space="preserve">osticada como causante de un </w:t>
      </w:r>
      <w:proofErr w:type="spellStart"/>
      <w:r w:rsidR="00B629AD">
        <w:t>sap</w:t>
      </w:r>
      <w:proofErr w:type="spellEnd"/>
      <w:r w:rsidRPr="00916676">
        <w:t>, la pr</w:t>
      </w:r>
      <w:r w:rsidR="00737F05">
        <w:t>esunta alienadora (en ocasiones</w:t>
      </w:r>
      <w:r w:rsidRPr="00916676">
        <w:t xml:space="preserve"> alienador) debe demostrar su inocencia.</w:t>
      </w:r>
    </w:p>
    <w:p w:rsidR="00F964C7" w:rsidRDefault="002254E8" w:rsidP="00545B8F">
      <w:pPr>
        <w:ind w:firstLine="708"/>
        <w:jc w:val="both"/>
      </w:pPr>
      <w:r w:rsidRPr="00916676">
        <w:t>En tercer lugar</w:t>
      </w:r>
      <w:r w:rsidR="003960E3">
        <w:t>,</w:t>
      </w:r>
      <w:r w:rsidRPr="00916676">
        <w:t xml:space="preserve"> desde la psicología evolutiva</w:t>
      </w:r>
      <w:r w:rsidR="003960E3">
        <w:t xml:space="preserve">, </w:t>
      </w:r>
      <w:r w:rsidRPr="00916676">
        <w:t xml:space="preserve"> puesto que nos presenta un menor sin capacidad de crítica que repite de forma “robotizada” los argumentos que se supone  han pretendido inculcarle, y lo que es todavía más erróneo, si cabe, se considera que no son capaces de elaborar opiniones propias. También se echa de menos que </w:t>
      </w:r>
      <w:r w:rsidR="00744BE8">
        <w:t xml:space="preserve">Gardner y los defensores del </w:t>
      </w:r>
      <w:proofErr w:type="spellStart"/>
      <w:r w:rsidR="00744BE8">
        <w:t>sap</w:t>
      </w:r>
      <w:proofErr w:type="spellEnd"/>
      <w:r w:rsidRPr="00916676">
        <w:t xml:space="preserve"> hablen, en su bibliografía, de los trastornos psicológicos graves que vendrían necesariamente asociados a un “lavado de cerebro”. Como afirma la Asociación Española de Neuropsiquiatría</w:t>
      </w:r>
      <w:r w:rsidR="00544751">
        <w:t xml:space="preserve"> en 2008</w:t>
      </w:r>
      <w:r w:rsidRPr="00916676">
        <w:t xml:space="preserve">: </w:t>
      </w:r>
    </w:p>
    <w:p w:rsidR="002254E8" w:rsidRPr="00916676" w:rsidRDefault="002254E8" w:rsidP="00F964C7">
      <w:pPr>
        <w:jc w:val="both"/>
      </w:pPr>
      <w:r w:rsidRPr="00916676">
        <w:rPr>
          <w:i/>
        </w:rPr>
        <w:t xml:space="preserve">“Con el SAP, se borran las contribuciones de: </w:t>
      </w:r>
      <w:proofErr w:type="spellStart"/>
      <w:r w:rsidRPr="00916676">
        <w:rPr>
          <w:i/>
        </w:rPr>
        <w:t>Piaget</w:t>
      </w:r>
      <w:proofErr w:type="spellEnd"/>
      <w:r w:rsidRPr="00916676">
        <w:rPr>
          <w:i/>
        </w:rPr>
        <w:t xml:space="preserve">, </w:t>
      </w:r>
      <w:proofErr w:type="spellStart"/>
      <w:r w:rsidRPr="00916676">
        <w:rPr>
          <w:i/>
        </w:rPr>
        <w:t>Vigotski</w:t>
      </w:r>
      <w:proofErr w:type="spellEnd"/>
      <w:r w:rsidRPr="00916676">
        <w:rPr>
          <w:i/>
        </w:rPr>
        <w:t xml:space="preserve">, </w:t>
      </w:r>
      <w:proofErr w:type="spellStart"/>
      <w:r w:rsidRPr="00916676">
        <w:rPr>
          <w:i/>
        </w:rPr>
        <w:t>Spitz</w:t>
      </w:r>
      <w:proofErr w:type="spellEnd"/>
      <w:r w:rsidRPr="00916676">
        <w:rPr>
          <w:i/>
        </w:rPr>
        <w:t xml:space="preserve">, </w:t>
      </w:r>
      <w:proofErr w:type="spellStart"/>
      <w:r w:rsidRPr="00916676">
        <w:rPr>
          <w:i/>
        </w:rPr>
        <w:t>Mahler</w:t>
      </w:r>
      <w:proofErr w:type="spellEnd"/>
      <w:r w:rsidRPr="00916676">
        <w:rPr>
          <w:i/>
        </w:rPr>
        <w:t xml:space="preserve">, Klein, Freud (Anna), </w:t>
      </w:r>
      <w:proofErr w:type="spellStart"/>
      <w:r w:rsidRPr="00916676">
        <w:rPr>
          <w:i/>
        </w:rPr>
        <w:t>Ainsworth</w:t>
      </w:r>
      <w:proofErr w:type="spellEnd"/>
      <w:r w:rsidRPr="00916676">
        <w:rPr>
          <w:i/>
        </w:rPr>
        <w:t xml:space="preserve">, </w:t>
      </w:r>
      <w:proofErr w:type="spellStart"/>
      <w:r w:rsidRPr="00916676">
        <w:rPr>
          <w:i/>
        </w:rPr>
        <w:t>Winnicot</w:t>
      </w:r>
      <w:proofErr w:type="spellEnd"/>
      <w:r w:rsidRPr="00916676">
        <w:rPr>
          <w:i/>
        </w:rPr>
        <w:t xml:space="preserve">, </w:t>
      </w:r>
      <w:proofErr w:type="spellStart"/>
      <w:r w:rsidRPr="00916676">
        <w:rPr>
          <w:i/>
        </w:rPr>
        <w:t>Bowlby</w:t>
      </w:r>
      <w:proofErr w:type="spellEnd"/>
      <w:r w:rsidRPr="00916676">
        <w:rPr>
          <w:i/>
        </w:rPr>
        <w:t xml:space="preserve">, </w:t>
      </w:r>
      <w:proofErr w:type="spellStart"/>
      <w:r w:rsidRPr="00916676">
        <w:rPr>
          <w:i/>
        </w:rPr>
        <w:t>Lebovici</w:t>
      </w:r>
      <w:proofErr w:type="spellEnd"/>
      <w:r w:rsidRPr="00916676">
        <w:rPr>
          <w:i/>
        </w:rPr>
        <w:t xml:space="preserve">, </w:t>
      </w:r>
      <w:proofErr w:type="spellStart"/>
      <w:r w:rsidRPr="00916676">
        <w:rPr>
          <w:i/>
        </w:rPr>
        <w:t>Ajuriaguerra</w:t>
      </w:r>
      <w:proofErr w:type="spellEnd"/>
      <w:r w:rsidRPr="00916676">
        <w:rPr>
          <w:i/>
        </w:rPr>
        <w:t xml:space="preserve">, </w:t>
      </w:r>
      <w:proofErr w:type="spellStart"/>
      <w:r w:rsidRPr="00916676">
        <w:rPr>
          <w:i/>
        </w:rPr>
        <w:t>Diatkine</w:t>
      </w:r>
      <w:proofErr w:type="spellEnd"/>
      <w:r w:rsidRPr="00916676">
        <w:rPr>
          <w:i/>
        </w:rPr>
        <w:t xml:space="preserve">, </w:t>
      </w:r>
      <w:proofErr w:type="spellStart"/>
      <w:r w:rsidRPr="00916676">
        <w:rPr>
          <w:i/>
        </w:rPr>
        <w:t>Anzieu</w:t>
      </w:r>
      <w:proofErr w:type="spellEnd"/>
      <w:r w:rsidRPr="00916676">
        <w:rPr>
          <w:i/>
        </w:rPr>
        <w:t>, Ericsson,…. La lista de los autores que han elaborado mucho de lo que sabemos de nosotros mismos a través de la mente de los niños, sería, inmensa. Toda la complejidad de la psique humana, la que permite o ayuda a explicar los comportamientos y ayudar desde la clínica ha sido simplificada a un nivel máximo por Gardner. Esto permite, como era objetivo suyo, un diagnóstico fácil del SAP</w:t>
      </w:r>
      <w:r w:rsidRPr="00916676">
        <w:t>”</w:t>
      </w:r>
      <w:r w:rsidR="00544751">
        <w:t>.</w:t>
      </w:r>
    </w:p>
    <w:p w:rsidR="00783166" w:rsidRPr="005F0D67" w:rsidRDefault="009650DE" w:rsidP="00744BE8">
      <w:pPr>
        <w:ind w:firstLine="708"/>
        <w:jc w:val="both"/>
      </w:pPr>
      <w:r>
        <w:rPr>
          <w:bCs/>
          <w:lang w:val="es-ES_tradnl"/>
        </w:rPr>
        <w:t>Resulta bastante reduccionista</w:t>
      </w:r>
      <w:r w:rsidR="00783166" w:rsidRPr="00916676">
        <w:rPr>
          <w:bCs/>
          <w:lang w:val="es-ES_tradnl"/>
        </w:rPr>
        <w:t xml:space="preserve"> considerar que los menores son meras marionetas que repiten sin el menor sentido crítico lo que el presunto “alienador” introduce en su cerebro. Resulta bastante reduccionista pensar que los menores no tienen derecho </w:t>
      </w:r>
      <w:r w:rsidR="005645F0">
        <w:rPr>
          <w:bCs/>
          <w:lang w:val="es-ES_tradnl"/>
        </w:rPr>
        <w:t>a sentir, pensar y actuar por sí</w:t>
      </w:r>
      <w:r w:rsidR="00783166" w:rsidRPr="00916676">
        <w:rPr>
          <w:bCs/>
          <w:lang w:val="es-ES_tradnl"/>
        </w:rPr>
        <w:t xml:space="preserve"> mismos, aun cuando no negamos que  puedan ser influenciados.</w:t>
      </w:r>
      <w:r w:rsidR="00772B89" w:rsidRPr="00916676">
        <w:rPr>
          <w:bCs/>
          <w:lang w:val="es-ES_tradnl"/>
        </w:rPr>
        <w:t xml:space="preserve"> Resulta bastante aberrante desde un punto de vista evolutivo considerar a los menores desde los 2 a los 15 años (pongamos por caso) como un grupo </w:t>
      </w:r>
      <w:r w:rsidR="00F25C97" w:rsidRPr="00916676">
        <w:rPr>
          <w:bCs/>
          <w:lang w:val="es-ES_tradnl"/>
        </w:rPr>
        <w:t>homogéneo</w:t>
      </w:r>
      <w:r w:rsidR="00F25C97">
        <w:rPr>
          <w:bCs/>
          <w:lang w:val="es-ES_tradnl"/>
        </w:rPr>
        <w:t xml:space="preserve"> que se comporta de la misma </w:t>
      </w:r>
      <w:r>
        <w:rPr>
          <w:bCs/>
          <w:lang w:val="es-ES_tradnl"/>
        </w:rPr>
        <w:t>manera independientemente de su</w:t>
      </w:r>
      <w:r w:rsidR="00F25C97">
        <w:rPr>
          <w:bCs/>
          <w:lang w:val="es-ES_tradnl"/>
        </w:rPr>
        <w:t xml:space="preserve"> edad, desarrollo emocional, intelectual, etc.</w:t>
      </w:r>
    </w:p>
    <w:p w:rsidR="00807EF4" w:rsidRPr="00371168" w:rsidRDefault="00807EF4" w:rsidP="001573E7">
      <w:pPr>
        <w:jc w:val="both"/>
      </w:pPr>
      <w:r>
        <w:tab/>
        <w:t>En cuarto lugar la “circularidad de la argumentación”, cualquier acción de la madre</w:t>
      </w:r>
      <w:r w:rsidR="00447FFB">
        <w:t>, cualquier intento del menor de argumentar su rechazo</w:t>
      </w:r>
      <w:r w:rsidR="0098162D">
        <w:t xml:space="preserve"> </w:t>
      </w:r>
      <w:r w:rsidR="00B87C69">
        <w:t xml:space="preserve">hacia el </w:t>
      </w:r>
      <w:r w:rsidR="0098162D">
        <w:t>presunto alienado son transformad</w:t>
      </w:r>
      <w:r w:rsidR="00B011B2">
        <w:t>os en nuevos argumentos pro-</w:t>
      </w:r>
      <w:proofErr w:type="spellStart"/>
      <w:r w:rsidR="00B011B2">
        <w:t>sap</w:t>
      </w:r>
      <w:proofErr w:type="spellEnd"/>
      <w:r w:rsidR="00B011B2">
        <w:t>,</w:t>
      </w:r>
      <w:r w:rsidR="0098162D">
        <w:t xml:space="preserve"> </w:t>
      </w:r>
      <w:r w:rsidR="00B011B2">
        <w:t>c</w:t>
      </w:r>
      <w:r w:rsidR="005D1603">
        <w:t>omo y</w:t>
      </w:r>
      <w:r w:rsidR="0098162D">
        <w:t>a hemos visto anteriormente</w:t>
      </w:r>
      <w:r w:rsidR="00B87C69">
        <w:t xml:space="preserve"> con</w:t>
      </w:r>
      <w:r w:rsidR="003D0CD6">
        <w:t xml:space="preserve"> las denuncias por malos tratos y/o</w:t>
      </w:r>
      <w:r w:rsidR="0098162D">
        <w:t xml:space="preserve"> abusos sexuales </w:t>
      </w:r>
      <w:r w:rsidR="00371168">
        <w:t xml:space="preserve">que </w:t>
      </w:r>
      <w:r w:rsidR="003D0CD6">
        <w:t>son calificadas como</w:t>
      </w:r>
      <w:r w:rsidR="0098162D">
        <w:t xml:space="preserve"> “</w:t>
      </w:r>
      <w:r w:rsidR="005D1603">
        <w:t>falsa</w:t>
      </w:r>
      <w:r w:rsidR="0098162D">
        <w:t>s”</w:t>
      </w:r>
      <w:r w:rsidR="003D0CD6">
        <w:t xml:space="preserve"> e instrumentales</w:t>
      </w:r>
      <w:r w:rsidR="005D1603">
        <w:t>. Lo mismo pasa con los intentos de la madre de proteger a los menores evitando las visitas</w:t>
      </w:r>
      <w:r w:rsidR="003D0CD6">
        <w:t xml:space="preserve"> con argumentos</w:t>
      </w:r>
      <w:r w:rsidR="0085035E">
        <w:t xml:space="preserve"> que </w:t>
      </w:r>
      <w:r w:rsidR="0082075A" w:rsidRPr="0085035E">
        <w:rPr>
          <w:rFonts w:eastAsiaTheme="minorHAnsi"/>
          <w:lang w:eastAsia="en-US"/>
        </w:rPr>
        <w:t>se convierten en mentiras y nuevos intentos de “programación”</w:t>
      </w:r>
      <w:r w:rsidR="00995123">
        <w:t xml:space="preserve"> por parte de esta. Las argumentaciones de los menores entran dentro de lo </w:t>
      </w:r>
      <w:r w:rsidR="006025BE">
        <w:t>que llaman escenarios prestados, explicaciones triviales</w:t>
      </w:r>
      <w:r w:rsidR="00B011B2">
        <w:t>, ausencia de ambivalencia que có</w:t>
      </w:r>
      <w:r w:rsidR="00C87BEE">
        <w:t>mo no</w:t>
      </w:r>
      <w:r w:rsidR="00D15D93">
        <w:t>,</w:t>
      </w:r>
      <w:r w:rsidR="00C87BEE">
        <w:t xml:space="preserve"> son </w:t>
      </w:r>
      <w:r w:rsidR="009E0158">
        <w:t>“</w:t>
      </w:r>
      <w:r w:rsidR="00C87BEE">
        <w:t>claros</w:t>
      </w:r>
      <w:r w:rsidR="009E0158">
        <w:t xml:space="preserve"> </w:t>
      </w:r>
      <w:r w:rsidR="00C87BEE">
        <w:t>indicadores”</w:t>
      </w:r>
      <w:r w:rsidR="00995123">
        <w:t xml:space="preserve"> </w:t>
      </w:r>
      <w:r w:rsidR="00B87C69">
        <w:t xml:space="preserve">de la presencia de </w:t>
      </w:r>
      <w:proofErr w:type="spellStart"/>
      <w:r w:rsidR="00B87C69">
        <w:t>sap</w:t>
      </w:r>
      <w:proofErr w:type="spellEnd"/>
      <w:r w:rsidR="00371168" w:rsidRPr="00371168">
        <w:t>.</w:t>
      </w:r>
      <w:r w:rsidR="00875EFC">
        <w:t xml:space="preserve"> No se cuestion</w:t>
      </w:r>
      <w:r w:rsidR="009F080F">
        <w:t>a</w:t>
      </w:r>
      <w:r w:rsidR="00414292">
        <w:t xml:space="preserve"> </w:t>
      </w:r>
      <w:r w:rsidR="00C26011">
        <w:t>la conducta</w:t>
      </w:r>
      <w:r w:rsidR="00137A9F">
        <w:t xml:space="preserve"> del progenitor </w:t>
      </w:r>
      <w:r w:rsidR="00414292">
        <w:t xml:space="preserve">no </w:t>
      </w:r>
      <w:r w:rsidR="00137A9F">
        <w:t>custo</w:t>
      </w:r>
      <w:r w:rsidR="00414292">
        <w:t>dio</w:t>
      </w:r>
      <w:r w:rsidR="00875EFC">
        <w:t xml:space="preserve"> en la generación del r</w:t>
      </w:r>
      <w:r w:rsidR="00811406">
        <w:t xml:space="preserve">echazo por parte </w:t>
      </w:r>
      <w:r w:rsidR="00811406">
        <w:lastRenderedPageBreak/>
        <w:t>de los menores, la</w:t>
      </w:r>
      <w:r w:rsidR="00C26011">
        <w:t xml:space="preserve"> “bondad” </w:t>
      </w:r>
      <w:r w:rsidR="00811406">
        <w:t xml:space="preserve"> de la misma </w:t>
      </w:r>
      <w:r w:rsidR="00C26011">
        <w:t xml:space="preserve">es </w:t>
      </w:r>
      <w:r w:rsidR="0083500F">
        <w:t xml:space="preserve">una premisa necesaria y </w:t>
      </w:r>
      <w:r w:rsidR="00C26011">
        <w:t>dada por supuesta</w:t>
      </w:r>
      <w:r w:rsidR="00DA6275">
        <w:t xml:space="preserve"> en la atribución de </w:t>
      </w:r>
      <w:proofErr w:type="spellStart"/>
      <w:r w:rsidR="00DA6275">
        <w:t>sap</w:t>
      </w:r>
      <w:proofErr w:type="spellEnd"/>
      <w:r w:rsidR="009F080F">
        <w:t>.</w:t>
      </w:r>
      <w:r w:rsidR="0083500F">
        <w:t xml:space="preserve"> </w:t>
      </w:r>
      <w:r w:rsidR="000554AA">
        <w:rPr>
          <w:bCs/>
        </w:rPr>
        <w:t>A los/as abogado</w:t>
      </w:r>
      <w:r w:rsidR="00B011B2">
        <w:rPr>
          <w:bCs/>
        </w:rPr>
        <w:t>s/a</w:t>
      </w:r>
      <w:r w:rsidR="00371168" w:rsidRPr="00371168">
        <w:rPr>
          <w:bCs/>
        </w:rPr>
        <w:t xml:space="preserve">s del </w:t>
      </w:r>
      <w:r w:rsidR="008E4BB4">
        <w:rPr>
          <w:bCs/>
        </w:rPr>
        <w:t>“</w:t>
      </w:r>
      <w:r w:rsidR="00371168" w:rsidRPr="00371168">
        <w:rPr>
          <w:bCs/>
        </w:rPr>
        <w:t>progenitor alienador</w:t>
      </w:r>
      <w:r w:rsidR="008E4BB4">
        <w:rPr>
          <w:bCs/>
        </w:rPr>
        <w:t>”</w:t>
      </w:r>
      <w:r w:rsidR="00371168" w:rsidRPr="00371168">
        <w:rPr>
          <w:bCs/>
        </w:rPr>
        <w:t xml:space="preserve"> se les asigna el papel de </w:t>
      </w:r>
      <w:r w:rsidR="0085035E">
        <w:rPr>
          <w:bCs/>
        </w:rPr>
        <w:t xml:space="preserve">mentirosos y </w:t>
      </w:r>
      <w:r w:rsidR="00371168" w:rsidRPr="00371168">
        <w:rPr>
          <w:bCs/>
        </w:rPr>
        <w:t xml:space="preserve">falsos. Los jueces </w:t>
      </w:r>
      <w:r w:rsidR="00CD58BD" w:rsidRPr="00CD58BD">
        <w:rPr>
          <w:bCs/>
          <w:iCs/>
        </w:rPr>
        <w:t xml:space="preserve">y los </w:t>
      </w:r>
      <w:r w:rsidR="00CD58BD" w:rsidRPr="00371168">
        <w:rPr>
          <w:bCs/>
        </w:rPr>
        <w:t>profesionales de salud menta</w:t>
      </w:r>
      <w:r w:rsidR="00CD58BD">
        <w:rPr>
          <w:bCs/>
        </w:rPr>
        <w:t xml:space="preserve">l </w:t>
      </w:r>
      <w:r w:rsidR="00371168" w:rsidRPr="00371168">
        <w:rPr>
          <w:bCs/>
        </w:rPr>
        <w:t xml:space="preserve">que no actúan de acuerdo al supuesto </w:t>
      </w:r>
      <w:proofErr w:type="spellStart"/>
      <w:r w:rsidR="00DA6275" w:rsidRPr="00DA6275">
        <w:rPr>
          <w:bCs/>
          <w:iCs/>
        </w:rPr>
        <w:t>sap</w:t>
      </w:r>
      <w:proofErr w:type="spellEnd"/>
      <w:r w:rsidR="00371168" w:rsidRPr="00DA6275">
        <w:rPr>
          <w:bCs/>
        </w:rPr>
        <w:t>,</w:t>
      </w:r>
      <w:r w:rsidR="00371168" w:rsidRPr="00371168">
        <w:rPr>
          <w:bCs/>
        </w:rPr>
        <w:t xml:space="preserve"> serán considerados como ingenuos, o influenciados por el progenitor alienador</w:t>
      </w:r>
      <w:r w:rsidR="00CD58BD">
        <w:rPr>
          <w:bCs/>
        </w:rPr>
        <w:t>.</w:t>
      </w:r>
      <w:r w:rsidR="0098162D" w:rsidRPr="00371168">
        <w:t xml:space="preserve">  </w:t>
      </w:r>
      <w:r w:rsidR="00447FFB" w:rsidRPr="00371168">
        <w:t xml:space="preserve"> </w:t>
      </w:r>
    </w:p>
    <w:p w:rsidR="002254E8" w:rsidRDefault="002254E8" w:rsidP="002254E8">
      <w:pPr>
        <w:pStyle w:val="Textoindependiente"/>
        <w:ind w:firstLine="708"/>
        <w:jc w:val="both"/>
        <w:rPr>
          <w:lang w:val="es-ES_tradnl"/>
        </w:rPr>
      </w:pPr>
      <w:r w:rsidRPr="00B73982">
        <w:rPr>
          <w:lang w:val="es-ES"/>
        </w:rPr>
        <w:t xml:space="preserve">Y en último lugar, y no por ello el menos importante, se le critica desde lo ideológico puesto que el supuesto síndrome se inserta en el marco teórico sobre el que Gardner elabora su Teoría de la conducta sexual humana. </w:t>
      </w:r>
      <w:r w:rsidRPr="00B63CB7">
        <w:rPr>
          <w:lang w:val="es-ES_tradnl"/>
        </w:rPr>
        <w:t>La</w:t>
      </w:r>
      <w:r>
        <w:rPr>
          <w:lang w:val="es-ES_tradnl"/>
        </w:rPr>
        <w:t>s</w:t>
      </w:r>
      <w:r w:rsidRPr="00B63CB7">
        <w:rPr>
          <w:lang w:val="es-ES_tradnl"/>
        </w:rPr>
        <w:t xml:space="preserve"> siguientes</w:t>
      </w:r>
      <w:r>
        <w:rPr>
          <w:lang w:val="es-ES_tradnl"/>
        </w:rPr>
        <w:t xml:space="preserve"> citas </w:t>
      </w:r>
      <w:r w:rsidRPr="00B63CB7">
        <w:rPr>
          <w:lang w:val="es-ES_tradnl"/>
        </w:rPr>
        <w:t>nos hablan de una manera clara sobre el marco te</w:t>
      </w:r>
      <w:r>
        <w:rPr>
          <w:lang w:val="es-ES_tradnl"/>
        </w:rPr>
        <w:t>órico en el que Gardner se sustenta</w:t>
      </w:r>
      <w:r w:rsidRPr="00B63CB7">
        <w:rPr>
          <w:lang w:val="es-ES_tradnl"/>
        </w:rPr>
        <w:t xml:space="preserve">, no olvidemos como decíamos al principio que el supuesto síndrome aparece </w:t>
      </w:r>
      <w:r w:rsidR="00F35539">
        <w:rPr>
          <w:lang w:val="es-ES_tradnl"/>
        </w:rPr>
        <w:t>cuando en la sociedad norteameri</w:t>
      </w:r>
      <w:r w:rsidRPr="00B63CB7">
        <w:rPr>
          <w:lang w:val="es-ES_tradnl"/>
        </w:rPr>
        <w:t>cana se em</w:t>
      </w:r>
      <w:r>
        <w:rPr>
          <w:lang w:val="es-ES_tradnl"/>
        </w:rPr>
        <w:t>piezan a destapar los abusos sex</w:t>
      </w:r>
      <w:r w:rsidRPr="00B63CB7">
        <w:rPr>
          <w:lang w:val="es-ES_tradnl"/>
        </w:rPr>
        <w:t>uales sufridos por los menores en</w:t>
      </w:r>
      <w:r>
        <w:rPr>
          <w:lang w:val="es-ES_tradnl"/>
        </w:rPr>
        <w:t xml:space="preserve"> </w:t>
      </w:r>
      <w:r w:rsidRPr="00B63CB7">
        <w:rPr>
          <w:lang w:val="es-ES_tradnl"/>
        </w:rPr>
        <w:t xml:space="preserve">el contexto familiar.   </w:t>
      </w:r>
    </w:p>
    <w:p w:rsidR="002254E8" w:rsidRPr="000042A1" w:rsidRDefault="002254E8" w:rsidP="009E0158">
      <w:pPr>
        <w:pStyle w:val="Textoindependiente"/>
        <w:jc w:val="both"/>
        <w:rPr>
          <w:i/>
          <w:color w:val="000000"/>
          <w:lang w:val="es-ES_tradnl"/>
        </w:rPr>
      </w:pPr>
      <w:r w:rsidRPr="000042A1">
        <w:rPr>
          <w:i/>
          <w:color w:val="000000"/>
          <w:lang w:val="es-ES_tradnl"/>
        </w:rPr>
        <w:t>“Los niños mayores pueden ser ayudados a darse cuenta que los encuentros sexuales entre un adulto y un niño no son universalmente considerados como un acto censurable. Se le podría contar al niño sobre otras sociedades en las cuales tal comportamiento fue y es considerado normal. El niño podría ser ayudado a apreciar la sabiduría del Hamlet de Shakespeare, que dijo,</w:t>
      </w:r>
      <w:r w:rsidR="00560EC1">
        <w:rPr>
          <w:i/>
          <w:color w:val="000000"/>
          <w:lang w:val="es-ES_tradnl"/>
        </w:rPr>
        <w:t xml:space="preserve"> </w:t>
      </w:r>
      <w:r w:rsidRPr="000042A1">
        <w:rPr>
          <w:i/>
          <w:color w:val="000000"/>
          <w:lang w:val="es-ES_tradnl"/>
        </w:rPr>
        <w:t>Nada es bueno o malo. Pero el pensarlo lo hace así. En tales discusiones el niño tiene que ser ayudado a apreciar que en nuestra sociedad tenemos una actitud exageradamente punitiva y moralista sobre los encuentros sexuales entre adulto-niño</w:t>
      </w:r>
      <w:r w:rsidR="00DE2495">
        <w:rPr>
          <w:i/>
          <w:color w:val="000000"/>
          <w:lang w:val="es-ES_tradnl"/>
        </w:rPr>
        <w:t xml:space="preserve">” </w:t>
      </w:r>
      <w:r w:rsidR="00DE2495" w:rsidRPr="00DB05FB">
        <w:rPr>
          <w:color w:val="000000"/>
          <w:lang w:val="es-ES_tradnl"/>
        </w:rPr>
        <w:t>(Gardner, 1992, pág.</w:t>
      </w:r>
      <w:r w:rsidR="00DB05FB" w:rsidRPr="00DB05FB">
        <w:rPr>
          <w:color w:val="000000"/>
          <w:lang w:val="es-ES_tradnl"/>
        </w:rPr>
        <w:t xml:space="preserve"> </w:t>
      </w:r>
      <w:r w:rsidR="00DE2495" w:rsidRPr="00DB05FB">
        <w:rPr>
          <w:color w:val="000000"/>
          <w:lang w:val="es-ES_tradnl"/>
        </w:rPr>
        <w:t>549).</w:t>
      </w:r>
    </w:p>
    <w:p w:rsidR="002254E8" w:rsidRPr="00DB05FB" w:rsidRDefault="002254E8" w:rsidP="002254E8">
      <w:pPr>
        <w:pStyle w:val="Textoindependiente"/>
        <w:jc w:val="both"/>
        <w:rPr>
          <w:color w:val="000000"/>
          <w:lang w:val="es-ES_tradnl"/>
        </w:rPr>
      </w:pPr>
      <w:r w:rsidRPr="000042A1">
        <w:rPr>
          <w:i/>
          <w:color w:val="000000"/>
          <w:lang w:val="es-ES_tradnl"/>
        </w:rPr>
        <w:t>“Si la madre ha reaccionado al abuso de manera histérica, o lo ha usado como excusa para una campaña de denigración del padre, entonces el terapeuta hace bien en tratar de ‘traerla a la cordura’... Su histeria... contribuirá al sentimiento del niño de que se ha cometido un horrible crimen y por lo tanto disminuirá la posibilidad de todo tipo de acercamiento con el padre. Uno debe hacer todo lo posible para ayudarla a poner ‘el crimen’ en una adecuada perspectiva. Ella debe ser ayudada a apreciar que en la mayoría de las sociedades en la historia del mundo, tal comportamiento era omnipresente, y que esto aún es así</w:t>
      </w:r>
      <w:r w:rsidR="00DE2495">
        <w:rPr>
          <w:i/>
          <w:color w:val="000000"/>
          <w:lang w:val="es-ES_tradnl"/>
        </w:rPr>
        <w:t xml:space="preserve">” </w:t>
      </w:r>
      <w:r w:rsidR="00DB05FB" w:rsidRPr="00DB05FB">
        <w:rPr>
          <w:color w:val="000000"/>
          <w:lang w:val="es-ES_tradnl"/>
        </w:rPr>
        <w:t>(</w:t>
      </w:r>
      <w:r w:rsidR="00DE2495" w:rsidRPr="00DB05FB">
        <w:rPr>
          <w:color w:val="000000"/>
          <w:lang w:val="es-ES_tradnl"/>
        </w:rPr>
        <w:t>pág.</w:t>
      </w:r>
      <w:r w:rsidR="00DB05FB" w:rsidRPr="00DB05FB">
        <w:rPr>
          <w:color w:val="000000"/>
          <w:lang w:val="es-ES_tradnl"/>
        </w:rPr>
        <w:t xml:space="preserve"> </w:t>
      </w:r>
      <w:r w:rsidR="00DE2495" w:rsidRPr="00DB05FB">
        <w:rPr>
          <w:color w:val="000000"/>
          <w:lang w:val="es-ES_tradnl"/>
        </w:rPr>
        <w:t>5</w:t>
      </w:r>
      <w:r w:rsidR="00DB05FB" w:rsidRPr="00DB05FB">
        <w:rPr>
          <w:color w:val="000000"/>
          <w:lang w:val="es-ES_tradnl"/>
        </w:rPr>
        <w:t>84-585</w:t>
      </w:r>
      <w:r w:rsidR="00DE2495" w:rsidRPr="00DB05FB">
        <w:rPr>
          <w:color w:val="000000"/>
          <w:lang w:val="es-ES_tradnl"/>
        </w:rPr>
        <w:t>).</w:t>
      </w:r>
    </w:p>
    <w:p w:rsidR="002254E8" w:rsidRPr="00DB05FB" w:rsidRDefault="002254E8" w:rsidP="002254E8">
      <w:pPr>
        <w:pStyle w:val="Textoindependiente"/>
        <w:jc w:val="both"/>
        <w:rPr>
          <w:color w:val="000000"/>
          <w:lang w:val="es-ES_tradnl"/>
        </w:rPr>
      </w:pPr>
      <w:r w:rsidRPr="000042A1">
        <w:rPr>
          <w:color w:val="000000"/>
          <w:lang w:val="es-ES_tradnl"/>
        </w:rPr>
        <w:t>“</w:t>
      </w:r>
      <w:r w:rsidRPr="000042A1">
        <w:rPr>
          <w:i/>
          <w:color w:val="000000"/>
          <w:lang w:val="es-ES_tradnl"/>
        </w:rPr>
        <w:t>Es muy probable que la madre tenga problemas sexuales... En muchos casos ella misma fue sexualmente abusada cuando niña...Ella podría no haber logrado nunca un orgasmo—a pesar del hecho de que ella fue abusada sexualmente, a pesar del hecho de que tuvo muchos amantes, y a pesar del hecho de que ahora está casada. El terapeuta, entonces, hace bien en tratar de ayudarla en lograr tal gratificación. Afirmaciones verbales sobre los placeres de la respuesta orgásmica no parecen resultar muy útiles. Uno debe alentar experiencias, bajo adecuadas situaciones de relajamiento, que le posibiliten lograr la meta de la respuesta orgásmica... Los vibradores pueden ser extremadamente útiles a este respecto, y uno debe tratar de superar toda inhibición que ella pueda tener respecto a su uso... la reducción de su propia culpa sobre la masturbación hará que le sea más fácil alentar en esta práctica a su hija, si esto está justificado. Y su aumentada sexualidad podría disminuir la necesidad de su esposo de dirigirse a su hija para una gratificación sexual</w:t>
      </w:r>
      <w:r w:rsidR="00DB05FB">
        <w:rPr>
          <w:i/>
          <w:color w:val="000000"/>
          <w:lang w:val="es-ES_tradnl"/>
        </w:rPr>
        <w:t xml:space="preserve">” </w:t>
      </w:r>
      <w:r w:rsidR="00DB05FB" w:rsidRPr="00DB05FB">
        <w:rPr>
          <w:color w:val="000000"/>
          <w:lang w:val="es-ES_tradnl"/>
        </w:rPr>
        <w:t>(pág. 585).</w:t>
      </w:r>
    </w:p>
    <w:p w:rsidR="002254E8" w:rsidRDefault="002254E8" w:rsidP="002254E8">
      <w:pPr>
        <w:jc w:val="both"/>
        <w:rPr>
          <w:lang w:val="es-ES_tradnl"/>
        </w:rPr>
      </w:pPr>
    </w:p>
    <w:p w:rsidR="002254E8" w:rsidRPr="00835576" w:rsidRDefault="002254E8" w:rsidP="00A82E69">
      <w:pPr>
        <w:ind w:firstLine="708"/>
        <w:jc w:val="both"/>
        <w:rPr>
          <w:lang w:val="es-ES_tradnl"/>
        </w:rPr>
      </w:pPr>
      <w:r>
        <w:rPr>
          <w:lang w:val="es-ES_tradnl"/>
        </w:rPr>
        <w:t>El problema se agrava al generalizarse (cada vez con más frecuencia) la utiliza</w:t>
      </w:r>
      <w:r w:rsidR="00835576">
        <w:rPr>
          <w:lang w:val="es-ES_tradnl"/>
        </w:rPr>
        <w:t>ción de este supuesto síndrome (y sus marcas blancas)</w:t>
      </w:r>
      <w:r w:rsidR="00B96EB2">
        <w:rPr>
          <w:lang w:val="es-ES_tradnl"/>
        </w:rPr>
        <w:t>. E</w:t>
      </w:r>
      <w:r w:rsidR="00835576">
        <w:rPr>
          <w:lang w:val="es-ES_tradnl"/>
        </w:rPr>
        <w:t>n</w:t>
      </w:r>
      <w:r>
        <w:rPr>
          <w:lang w:val="es-ES_tradnl"/>
        </w:rPr>
        <w:t xml:space="preserve"> muchos divorcios litigiosos en los que sin haber acusaciones de incesto o abusos sexuales, uno o varios menores se niegan a realizar las visi</w:t>
      </w:r>
      <w:r w:rsidR="00B3572C">
        <w:rPr>
          <w:lang w:val="es-ES_tradnl"/>
        </w:rPr>
        <w:t>tas al progenitor no custodio</w:t>
      </w:r>
      <w:r>
        <w:rPr>
          <w:lang w:val="es-ES_tradnl"/>
        </w:rPr>
        <w:t>. Sin tener en cuenta (y esto lo agrava todavía más)</w:t>
      </w:r>
      <w:r w:rsidR="006122DA">
        <w:rPr>
          <w:lang w:val="es-ES_tradnl"/>
        </w:rPr>
        <w:t xml:space="preserve"> si el progenitor no custodio</w:t>
      </w:r>
      <w:r>
        <w:rPr>
          <w:lang w:val="es-ES_tradnl"/>
        </w:rPr>
        <w:t xml:space="preserve"> (habitualmente el padre) ha sido condenado por delito de malos tratos ni otras posibles razones que justifiquen la </w:t>
      </w:r>
      <w:r>
        <w:rPr>
          <w:lang w:val="es-ES_tradnl"/>
        </w:rPr>
        <w:lastRenderedPageBreak/>
        <w:t xml:space="preserve">negativa de los menores, se pide que sea retirada la custodia (y en algunos casos las visitas) del progenitor acusado de alienador. </w:t>
      </w:r>
    </w:p>
    <w:p w:rsidR="00391A59" w:rsidRDefault="00391A59" w:rsidP="002254E8">
      <w:pPr>
        <w:pStyle w:val="Textoindependiente"/>
        <w:ind w:firstLine="708"/>
        <w:jc w:val="both"/>
        <w:rPr>
          <w:lang w:val="es-ES_tradnl"/>
        </w:rPr>
      </w:pPr>
    </w:p>
    <w:p w:rsidR="002254E8" w:rsidRDefault="00717FB0" w:rsidP="002254E8">
      <w:pPr>
        <w:pStyle w:val="Textoindependiente"/>
        <w:ind w:firstLine="708"/>
        <w:jc w:val="both"/>
        <w:rPr>
          <w:lang w:val="es-ES_tradnl"/>
        </w:rPr>
      </w:pPr>
      <w:r>
        <w:rPr>
          <w:lang w:val="es-ES_tradnl"/>
        </w:rPr>
        <w:t>Actualmente en nuestro p</w:t>
      </w:r>
      <w:r w:rsidR="002254E8" w:rsidRPr="00844290">
        <w:rPr>
          <w:lang w:val="es-ES_tradnl"/>
        </w:rPr>
        <w:t>aís ya existe</w:t>
      </w:r>
      <w:r w:rsidR="002254E8">
        <w:rPr>
          <w:lang w:val="es-ES_tradnl"/>
        </w:rPr>
        <w:t>, al menos,</w:t>
      </w:r>
      <w:r>
        <w:rPr>
          <w:lang w:val="es-ES_tradnl"/>
        </w:rPr>
        <w:t xml:space="preserve"> una sentencia en contra del </w:t>
      </w:r>
      <w:proofErr w:type="spellStart"/>
      <w:r>
        <w:rPr>
          <w:lang w:val="es-ES_tradnl"/>
        </w:rPr>
        <w:t>sap</w:t>
      </w:r>
      <w:proofErr w:type="spellEnd"/>
      <w:r w:rsidR="002254E8">
        <w:rPr>
          <w:lang w:val="es-ES_tradnl"/>
        </w:rPr>
        <w:t xml:space="preserve"> </w:t>
      </w:r>
      <w:r w:rsidR="002254E8" w:rsidRPr="00EF4F0A">
        <w:rPr>
          <w:lang w:val="es-ES_tradnl"/>
        </w:rPr>
        <w:t>que podría servir como referente en otros juicios</w:t>
      </w:r>
      <w:r w:rsidR="002254E8" w:rsidRPr="00844290">
        <w:rPr>
          <w:color w:val="FF6600"/>
          <w:lang w:val="es-ES_tradnl"/>
        </w:rPr>
        <w:t xml:space="preserve"> </w:t>
      </w:r>
      <w:r w:rsidR="002254E8" w:rsidRPr="00844290">
        <w:rPr>
          <w:lang w:val="es-ES_tradnl"/>
        </w:rPr>
        <w:t>en la que se afirma</w:t>
      </w:r>
      <w:r w:rsidR="002254E8">
        <w:rPr>
          <w:lang w:val="es-ES_tradnl"/>
        </w:rPr>
        <w:t>:</w:t>
      </w:r>
    </w:p>
    <w:p w:rsidR="002254E8" w:rsidRDefault="002254E8" w:rsidP="002254E8">
      <w:pPr>
        <w:pStyle w:val="Textoindependiente"/>
        <w:jc w:val="both"/>
        <w:rPr>
          <w:lang w:val="es-ES_tradnl"/>
        </w:rPr>
      </w:pPr>
      <w:r>
        <w:rPr>
          <w:lang w:val="es-ES_tradnl"/>
        </w:rPr>
        <w:t xml:space="preserve"> </w:t>
      </w:r>
      <w:r w:rsidRPr="009C035B">
        <w:rPr>
          <w:i/>
          <w:lang w:val="es-ES_tradnl"/>
        </w:rPr>
        <w:t>“La popularidad e invocación que de este denominado síndrome se está realizando en los últimos tiempos, y las (calificadas como) peligrosas consecuencias que está llegando a tener en relación con los procesos de separación y divorcio, llevaron a que en diciembre de dos mil siete un muy numeroso grupo de solventes profesionales de Medicina y Salud Mental suscribieran un manifiesto ante el fenómeno psicológico-legal del pretendido síndrome de alienación parental, en el que, entre otras afirmaciones, se expresa de forma contundente que la ideología que sustenta el SAP es abiertamente</w:t>
      </w:r>
      <w:r w:rsidRPr="009C035B">
        <w:rPr>
          <w:b/>
          <w:i/>
          <w:lang w:val="es-ES_tradnl"/>
        </w:rPr>
        <w:t xml:space="preserve"> </w:t>
      </w:r>
      <w:r w:rsidRPr="009C035B">
        <w:rPr>
          <w:i/>
          <w:lang w:val="es-ES_tradnl"/>
        </w:rPr>
        <w:t xml:space="preserve">pedófila y sexista, siendo un instrumento de peligroso fraude </w:t>
      </w:r>
      <w:proofErr w:type="spellStart"/>
      <w:r w:rsidRPr="009C035B">
        <w:rPr>
          <w:i/>
          <w:lang w:val="es-ES_tradnl"/>
        </w:rPr>
        <w:t>pseudo</w:t>
      </w:r>
      <w:proofErr w:type="spellEnd"/>
      <w:r w:rsidRPr="009C035B">
        <w:rPr>
          <w:i/>
          <w:lang w:val="es-ES_tradnl"/>
        </w:rPr>
        <w:t>-científico, que está generando situaciones de riesgo para los niños, y está provocando una involución en los derechos humanos de los menores y de sus madres (mujeres)”</w:t>
      </w:r>
      <w:r w:rsidR="00923903">
        <w:rPr>
          <w:rStyle w:val="Refdenotaalpie"/>
          <w:i/>
          <w:lang w:val="es-ES_tradnl"/>
        </w:rPr>
        <w:footnoteReference w:id="3"/>
      </w:r>
      <w:r w:rsidRPr="00844290">
        <w:rPr>
          <w:lang w:val="es-ES_tradnl"/>
        </w:rPr>
        <w:t xml:space="preserve"> y también</w:t>
      </w:r>
      <w:r>
        <w:rPr>
          <w:lang w:val="es-ES_tradnl"/>
        </w:rPr>
        <w:t>:</w:t>
      </w:r>
    </w:p>
    <w:p w:rsidR="002254E8" w:rsidRDefault="002254E8" w:rsidP="002254E8">
      <w:pPr>
        <w:pStyle w:val="Textoindependiente"/>
        <w:jc w:val="both"/>
        <w:rPr>
          <w:i/>
          <w:lang w:val="es-ES_tradnl"/>
        </w:rPr>
      </w:pPr>
      <w:r>
        <w:rPr>
          <w:lang w:val="es-ES_tradnl"/>
        </w:rPr>
        <w:t xml:space="preserve"> </w:t>
      </w:r>
      <w:r>
        <w:rPr>
          <w:i/>
          <w:lang w:val="es-ES_tradnl"/>
        </w:rPr>
        <w:t>“</w:t>
      </w:r>
      <w:r w:rsidRPr="00844290">
        <w:rPr>
          <w:i/>
          <w:lang w:val="es-ES_tradnl"/>
        </w:rPr>
        <w:t>Ni compartimos la existencia del “denominado” síndrome de alienación parental (ya se ha explicado más arriba, y la literatura científica al respecto es abundante, además de múltiples referencias en informes periciales sólidos) ni que, en este caso concreto, Dª M</w:t>
      </w:r>
      <w:r>
        <w:rPr>
          <w:i/>
          <w:lang w:val="es-ES_tradnl"/>
        </w:rPr>
        <w:t>.</w:t>
      </w:r>
      <w:r w:rsidRPr="00844290">
        <w:rPr>
          <w:i/>
          <w:lang w:val="es-ES_tradnl"/>
        </w:rPr>
        <w:t xml:space="preserve"> D</w:t>
      </w:r>
      <w:r>
        <w:rPr>
          <w:i/>
          <w:lang w:val="es-ES_tradnl"/>
        </w:rPr>
        <w:t>.</w:t>
      </w:r>
      <w:r w:rsidRPr="00844290">
        <w:rPr>
          <w:i/>
          <w:lang w:val="es-ES_tradnl"/>
        </w:rPr>
        <w:t xml:space="preserve"> manipulara a su hijo para que rechazase relacionarse con su padre: Existen unas vivencias y una serie de episodios objetivados que difícilmente se solucionarán con el recurso a la fuerza (folio 202 de las diligencias) como hemos expresado en múltiples ocasiones (en otros procesos de similar efecto) en que se acude a la (ínsita) fuerza del poder judicial para imponer relaciones, sentimientos, afectos.”</w:t>
      </w:r>
      <w:r w:rsidR="009C15F1">
        <w:rPr>
          <w:rStyle w:val="Refdenotaalpie"/>
          <w:i/>
          <w:lang w:val="es-ES_tradnl"/>
        </w:rPr>
        <w:footnoteReference w:id="4"/>
      </w:r>
    </w:p>
    <w:p w:rsidR="002254E8" w:rsidRDefault="00717FB0" w:rsidP="002254E8">
      <w:pPr>
        <w:pStyle w:val="Textoindependiente"/>
        <w:ind w:firstLine="708"/>
        <w:jc w:val="both"/>
        <w:rPr>
          <w:lang w:val="es-ES_tradnl"/>
        </w:rPr>
      </w:pPr>
      <w:r>
        <w:rPr>
          <w:lang w:val="es-ES_tradnl"/>
        </w:rPr>
        <w:t>De hecho e</w:t>
      </w:r>
      <w:r w:rsidR="002254E8">
        <w:rPr>
          <w:lang w:val="es-ES_tradnl"/>
        </w:rPr>
        <w:t>l Consejo General del Poder Judicial aprobó el 19 de septiembre de 2008 una Guía  de criterios de actuación judicial frente a la violencia de género en la que ocupa un destacado papel la preocupación del Consejo por la utilización que se e</w:t>
      </w:r>
      <w:r w:rsidR="00770427">
        <w:rPr>
          <w:lang w:val="es-ES_tradnl"/>
        </w:rPr>
        <w:t xml:space="preserve">stá haciendo con el supuesto </w:t>
      </w:r>
      <w:proofErr w:type="spellStart"/>
      <w:r w:rsidR="00770427">
        <w:rPr>
          <w:lang w:val="es-ES_tradnl"/>
        </w:rPr>
        <w:t>sap</w:t>
      </w:r>
      <w:proofErr w:type="spellEnd"/>
      <w:r w:rsidR="002254E8">
        <w:rPr>
          <w:lang w:val="es-ES_tradnl"/>
        </w:rPr>
        <w:t xml:space="preserve"> o “denominaciones alternativas con la misma virtualidad”, en dicha Guía se afirma que: </w:t>
      </w:r>
    </w:p>
    <w:p w:rsidR="002254E8" w:rsidRDefault="002254E8" w:rsidP="002254E8">
      <w:pPr>
        <w:pStyle w:val="Textoindependiente"/>
        <w:jc w:val="both"/>
        <w:rPr>
          <w:i/>
          <w:lang w:val="es-ES_tradnl"/>
        </w:rPr>
      </w:pPr>
      <w:r>
        <w:rPr>
          <w:i/>
          <w:lang w:val="es-ES_tradnl"/>
        </w:rPr>
        <w:t>“</w:t>
      </w:r>
      <w:r w:rsidRPr="00784D50">
        <w:rPr>
          <w:i/>
          <w:lang w:val="es-ES_tradnl"/>
        </w:rPr>
        <w:t>Aceptar, en suma, los planteamientos de las teorías de Gardner- que incluso incluía la aplicación de su teoría en los casos en los que se evidenciaba una situación de violencia, abuso o negligencia- en los procedimientos de  guardia y custodia de menores supone someter a éstos a una terapia coactiva y a una vulneración de sus derechos por parte de las instituciones que precisamente tienen la función de protegerles</w:t>
      </w:r>
      <w:r w:rsidR="009A2DA7">
        <w:rPr>
          <w:i/>
          <w:lang w:val="es-ES_tradnl"/>
        </w:rPr>
        <w:t>”</w:t>
      </w:r>
    </w:p>
    <w:p w:rsidR="002254E8" w:rsidRDefault="002254E8" w:rsidP="002254E8">
      <w:pPr>
        <w:pStyle w:val="Textoindependiente"/>
        <w:jc w:val="both"/>
        <w:rPr>
          <w:lang w:val="es-ES_tradnl"/>
        </w:rPr>
      </w:pPr>
      <w:r>
        <w:rPr>
          <w:lang w:val="es-ES_tradnl"/>
        </w:rPr>
        <w:t xml:space="preserve">Dicho documento recoge las formulaciones expresadas en la sentencia de </w:t>
      </w:r>
      <w:smartTag w:uri="urn:schemas-microsoft-com:office:smarttags" w:element="PersonName">
        <w:smartTagPr>
          <w:attr w:name="ProductID" w:val="la Audiencia"/>
        </w:smartTagPr>
        <w:r>
          <w:rPr>
            <w:lang w:val="es-ES_tradnl"/>
          </w:rPr>
          <w:t>la Audiencia</w:t>
        </w:r>
      </w:smartTag>
      <w:r>
        <w:rPr>
          <w:lang w:val="es-ES_tradnl"/>
        </w:rPr>
        <w:t xml:space="preserve"> provincial de </w:t>
      </w:r>
      <w:proofErr w:type="spellStart"/>
      <w:r>
        <w:rPr>
          <w:lang w:val="es-ES_tradnl"/>
        </w:rPr>
        <w:t>Bizkaia</w:t>
      </w:r>
      <w:proofErr w:type="spellEnd"/>
      <w:r>
        <w:rPr>
          <w:lang w:val="es-ES_tradnl"/>
        </w:rPr>
        <w:t xml:space="preserve"> antes citada y entre otras cosas concluye: </w:t>
      </w:r>
    </w:p>
    <w:p w:rsidR="002254E8" w:rsidRDefault="002254E8" w:rsidP="002254E8">
      <w:pPr>
        <w:pStyle w:val="Textoindependiente"/>
        <w:jc w:val="both"/>
        <w:rPr>
          <w:i/>
          <w:lang w:val="es-ES_tradnl"/>
        </w:rPr>
      </w:pPr>
      <w:r>
        <w:rPr>
          <w:i/>
          <w:lang w:val="es-ES_tradnl"/>
        </w:rPr>
        <w:t xml:space="preserve">“La conducta de rechazo de los menores al padre tras una separación puede deberse a diversas causas, algunas de ellas nacidas tras la propia ruptura, mientras que otras pueden deberse a factores previos a quiebra de las relaciones afectivas que abocan en la separación. Identificar todas estas circunstancias como SAP parte de una concepción estereotipada de base cultural de los roles de hombres y mujeres, y conllevar cargar de intencionalidad y acción a supuestas conductas de la madre para enfrentar a sus hijos e hijas al padre, que solo se identifican por una sintomatología </w:t>
      </w:r>
      <w:r>
        <w:rPr>
          <w:i/>
          <w:lang w:val="es-ES_tradnl"/>
        </w:rPr>
        <w:lastRenderedPageBreak/>
        <w:t>que, como hemos apuntado, habitualmente no se debe a estas conductas maternas”</w:t>
      </w:r>
      <w:r w:rsidR="0081724A">
        <w:rPr>
          <w:i/>
          <w:lang w:val="es-ES_tradnl"/>
        </w:rPr>
        <w:t xml:space="preserve"> (pág. 131).</w:t>
      </w:r>
    </w:p>
    <w:p w:rsidR="002254E8" w:rsidRDefault="002254E8" w:rsidP="002254E8">
      <w:pPr>
        <w:pStyle w:val="Textoindependiente"/>
        <w:jc w:val="both"/>
        <w:rPr>
          <w:i/>
          <w:lang w:val="es-ES_tradnl"/>
        </w:rPr>
      </w:pPr>
      <w:r>
        <w:rPr>
          <w:i/>
          <w:lang w:val="es-ES_tradnl"/>
        </w:rPr>
        <w:t>“En los casos en los que se aprecie problemas de relación y rechazo de los hijos y las hijas hacia el padre, la primera aproximación desde el punto de vista científico debe ser descartar situaciones de violencia y abordarlos como un problema de adaptación o de relación del menor o de su entorno familiar, y no como una patología</w:t>
      </w:r>
      <w:r w:rsidR="0081724A">
        <w:rPr>
          <w:i/>
          <w:lang w:val="es-ES_tradnl"/>
        </w:rPr>
        <w:t>” (pág. 132).</w:t>
      </w:r>
    </w:p>
    <w:p w:rsidR="008856F8" w:rsidRDefault="00F16E3B" w:rsidP="002E4746">
      <w:pPr>
        <w:pStyle w:val="NormalWeb"/>
        <w:spacing w:before="0" w:beforeAutospacing="0" w:after="0" w:afterAutospacing="0"/>
        <w:jc w:val="both"/>
      </w:pPr>
      <w:r>
        <w:rPr>
          <w:i/>
          <w:lang w:val="es-ES_tradnl"/>
        </w:rPr>
        <w:tab/>
      </w:r>
      <w:r w:rsidR="006C57DE">
        <w:rPr>
          <w:lang w:val="es-ES_tradnl"/>
        </w:rPr>
        <w:t xml:space="preserve">También en otras Instancias Institucionales ante las protestas de </w:t>
      </w:r>
      <w:r w:rsidR="00AF3D3B">
        <w:rPr>
          <w:lang w:val="es-ES_tradnl"/>
        </w:rPr>
        <w:t xml:space="preserve">ciudadanas afectadas por este pretendido diagnóstico se han hecho diversas recomendaciones a </w:t>
      </w:r>
      <w:proofErr w:type="spellStart"/>
      <w:r w:rsidR="00AF3D3B">
        <w:rPr>
          <w:lang w:val="es-ES_tradnl"/>
        </w:rPr>
        <w:t>l@s</w:t>
      </w:r>
      <w:proofErr w:type="spellEnd"/>
      <w:r w:rsidR="00AF3D3B">
        <w:rPr>
          <w:lang w:val="es-ES_tradnl"/>
        </w:rPr>
        <w:t xml:space="preserve"> profesionales</w:t>
      </w:r>
      <w:r w:rsidR="0033770B">
        <w:rPr>
          <w:lang w:val="es-ES_tradnl"/>
        </w:rPr>
        <w:t xml:space="preserve"> </w:t>
      </w:r>
      <w:r w:rsidR="00AF3D3B">
        <w:rPr>
          <w:lang w:val="es-ES_tradnl"/>
        </w:rPr>
        <w:t>implicados</w:t>
      </w:r>
      <w:r w:rsidR="0033770B">
        <w:rPr>
          <w:lang w:val="es-ES_tradnl"/>
        </w:rPr>
        <w:t>. Según información de EUROPA PRESS</w:t>
      </w:r>
      <w:r w:rsidR="00EA1FBB">
        <w:rPr>
          <w:lang w:val="es-ES_tradnl"/>
        </w:rPr>
        <w:t xml:space="preserve"> el 31/10/2009 “</w:t>
      </w:r>
      <w:r w:rsidR="00EA1FBB">
        <w:t xml:space="preserve">El </w:t>
      </w:r>
      <w:proofErr w:type="spellStart"/>
      <w:r w:rsidR="00EA1FBB">
        <w:t>Síndic</w:t>
      </w:r>
      <w:proofErr w:type="spellEnd"/>
      <w:r w:rsidR="00EA1FBB">
        <w:t xml:space="preserve"> de </w:t>
      </w:r>
      <w:proofErr w:type="spellStart"/>
      <w:r w:rsidR="00EA1FBB">
        <w:t>Greuges</w:t>
      </w:r>
      <w:proofErr w:type="spellEnd"/>
      <w:r w:rsidR="00EA1FBB">
        <w:t xml:space="preserve"> </w:t>
      </w:r>
      <w:r w:rsidR="0081724A">
        <w:t>(</w:t>
      </w:r>
      <w:r w:rsidR="0076001B">
        <w:t xml:space="preserve">Defensor de Pueblo) </w:t>
      </w:r>
      <w:r w:rsidR="00EA1FBB">
        <w:t xml:space="preserve">de la </w:t>
      </w:r>
      <w:proofErr w:type="spellStart"/>
      <w:r w:rsidR="00EA1FBB">
        <w:t>Comunitat</w:t>
      </w:r>
      <w:proofErr w:type="spellEnd"/>
      <w:r w:rsidR="00EA1FBB">
        <w:t xml:space="preserve"> Valenciana, José </w:t>
      </w:r>
      <w:proofErr w:type="spellStart"/>
      <w:r w:rsidR="00EA1FBB">
        <w:t>Cholbi</w:t>
      </w:r>
      <w:proofErr w:type="spellEnd"/>
      <w:r w:rsidR="00EA1FBB">
        <w:t>, sugiere a los profesionales que trabajan en los Puntos de Encuentro Familiar (PEF) no utilizar el Síndrome de Alineación Parental, al no estar reconocido ni avalado por ninguna asociación profesional ni científica”. Asimismo, entiende que su utilización es "contraria al espíritu de la Ley contra la Violencia de Género y, sobre todo, a la consideración y prudencia que requieren los menores de sus reacciones emocionales, sobre todo, si han padecido la vivencia de violencia familiar y, en este sentido, la extrema atención a la Declaración Universal de los Derechos de la Infancia".</w:t>
      </w:r>
    </w:p>
    <w:p w:rsidR="00F964C7" w:rsidRDefault="008856F8" w:rsidP="008A51BF">
      <w:pPr>
        <w:pStyle w:val="Default"/>
        <w:ind w:firstLine="708"/>
        <w:jc w:val="both"/>
        <w:rPr>
          <w:rFonts w:ascii="Times New Roman" w:hAnsi="Times New Roman" w:cs="Times New Roman"/>
        </w:rPr>
      </w:pPr>
      <w:r w:rsidRPr="00BC4A83">
        <w:rPr>
          <w:rFonts w:ascii="Times New Roman" w:hAnsi="Times New Roman" w:cs="Times New Roman"/>
        </w:rPr>
        <w:t xml:space="preserve">En </w:t>
      </w:r>
      <w:r w:rsidR="002E4746" w:rsidRPr="00BC4A83">
        <w:rPr>
          <w:rFonts w:ascii="Times New Roman" w:hAnsi="Times New Roman" w:cs="Times New Roman"/>
        </w:rPr>
        <w:t xml:space="preserve"> 2010 en </w:t>
      </w:r>
      <w:r w:rsidRPr="00BC4A83">
        <w:rPr>
          <w:rFonts w:ascii="Times New Roman" w:hAnsi="Times New Roman" w:cs="Times New Roman"/>
        </w:rPr>
        <w:t>Galicia el Colegio Oficial de Psicología de Galicia</w:t>
      </w:r>
      <w:r w:rsidR="00EA1FBB" w:rsidRPr="00BC4A83">
        <w:rPr>
          <w:rFonts w:ascii="Times New Roman" w:hAnsi="Times New Roman" w:cs="Times New Roman"/>
        </w:rPr>
        <w:t xml:space="preserve"> </w:t>
      </w:r>
      <w:r w:rsidR="00A350F4" w:rsidRPr="00BC4A83">
        <w:rPr>
          <w:rFonts w:ascii="Times New Roman" w:hAnsi="Times New Roman" w:cs="Times New Roman"/>
        </w:rPr>
        <w:t xml:space="preserve">ante las numerosas peticiones de </w:t>
      </w:r>
      <w:proofErr w:type="spellStart"/>
      <w:r w:rsidR="00A350F4" w:rsidRPr="00BC4A83">
        <w:rPr>
          <w:rFonts w:ascii="Times New Roman" w:hAnsi="Times New Roman" w:cs="Times New Roman"/>
        </w:rPr>
        <w:t>l@s</w:t>
      </w:r>
      <w:proofErr w:type="spellEnd"/>
      <w:r w:rsidR="00A350F4" w:rsidRPr="00BC4A83">
        <w:rPr>
          <w:rFonts w:ascii="Times New Roman" w:hAnsi="Times New Roman" w:cs="Times New Roman"/>
        </w:rPr>
        <w:t xml:space="preserve"> profesionales </w:t>
      </w:r>
      <w:proofErr w:type="spellStart"/>
      <w:r w:rsidR="00A350F4" w:rsidRPr="00BC4A83">
        <w:rPr>
          <w:rFonts w:ascii="Times New Roman" w:hAnsi="Times New Roman" w:cs="Times New Roman"/>
        </w:rPr>
        <w:t>implicad@s</w:t>
      </w:r>
      <w:proofErr w:type="spellEnd"/>
      <w:r w:rsidR="00A350F4" w:rsidRPr="00BC4A83">
        <w:rPr>
          <w:rFonts w:ascii="Times New Roman" w:hAnsi="Times New Roman" w:cs="Times New Roman"/>
        </w:rPr>
        <w:t xml:space="preserve"> en </w:t>
      </w:r>
      <w:proofErr w:type="spellStart"/>
      <w:r w:rsidR="00A350F4" w:rsidRPr="00BC4A83">
        <w:rPr>
          <w:rFonts w:ascii="Times New Roman" w:hAnsi="Times New Roman" w:cs="Times New Roman"/>
        </w:rPr>
        <w:t>en</w:t>
      </w:r>
      <w:proofErr w:type="spellEnd"/>
      <w:r w:rsidR="00A350F4" w:rsidRPr="00BC4A83">
        <w:rPr>
          <w:rFonts w:ascii="Times New Roman" w:hAnsi="Times New Roman" w:cs="Times New Roman"/>
        </w:rPr>
        <w:t xml:space="preserve"> trabajo con mujeres y menores </w:t>
      </w:r>
      <w:r w:rsidR="008B2AA7" w:rsidRPr="00BC4A83">
        <w:rPr>
          <w:rFonts w:ascii="Times New Roman" w:hAnsi="Times New Roman" w:cs="Times New Roman"/>
        </w:rPr>
        <w:t xml:space="preserve"> </w:t>
      </w:r>
      <w:r w:rsidR="002E4746" w:rsidRPr="00BC4A83">
        <w:rPr>
          <w:rFonts w:ascii="Times New Roman" w:hAnsi="Times New Roman" w:cs="Times New Roman"/>
        </w:rPr>
        <w:t>llegó a pronunciarse</w:t>
      </w:r>
      <w:r w:rsidR="00C13424" w:rsidRPr="00BC4A83">
        <w:rPr>
          <w:rFonts w:ascii="Times New Roman" w:hAnsi="Times New Roman" w:cs="Times New Roman"/>
        </w:rPr>
        <w:t xml:space="preserve"> sobre el asunto</w:t>
      </w:r>
      <w:r w:rsidR="00323AF6">
        <w:rPr>
          <w:rFonts w:ascii="Times New Roman" w:hAnsi="Times New Roman" w:cs="Times New Roman"/>
        </w:rPr>
        <w:t>:</w:t>
      </w:r>
      <w:r w:rsidR="002E4746" w:rsidRPr="00BC4A83">
        <w:rPr>
          <w:rFonts w:ascii="Times New Roman" w:hAnsi="Times New Roman" w:cs="Times New Roman"/>
        </w:rPr>
        <w:t xml:space="preserve"> </w:t>
      </w:r>
    </w:p>
    <w:p w:rsidR="00391A59" w:rsidRPr="00323AF6" w:rsidRDefault="00323AF6" w:rsidP="00BC4A83">
      <w:pPr>
        <w:pStyle w:val="Default"/>
        <w:jc w:val="both"/>
        <w:rPr>
          <w:rFonts w:ascii="Times New Roman" w:hAnsi="Times New Roman" w:cs="Times New Roman"/>
          <w:i/>
        </w:rPr>
      </w:pPr>
      <w:r w:rsidRPr="00323AF6">
        <w:rPr>
          <w:rFonts w:ascii="Times New Roman" w:hAnsi="Times New Roman" w:cs="Times New Roman"/>
          <w:i/>
        </w:rPr>
        <w:t>“(el</w:t>
      </w:r>
      <w:r w:rsidR="00BC4A83" w:rsidRPr="00323AF6">
        <w:rPr>
          <w:rFonts w:ascii="Times New Roman" w:hAnsi="Times New Roman" w:cs="Times New Roman"/>
          <w:i/>
        </w:rPr>
        <w:t xml:space="preserve"> COP G</w:t>
      </w:r>
      <w:r w:rsidRPr="00323AF6">
        <w:rPr>
          <w:rFonts w:ascii="Times New Roman" w:hAnsi="Times New Roman" w:cs="Times New Roman"/>
          <w:i/>
        </w:rPr>
        <w:t>)</w:t>
      </w:r>
      <w:r w:rsidR="00BC4A83" w:rsidRPr="00323AF6">
        <w:rPr>
          <w:rFonts w:ascii="Times New Roman" w:hAnsi="Times New Roman" w:cs="Times New Roman"/>
          <w:i/>
        </w:rPr>
        <w:t xml:space="preserve"> </w:t>
      </w:r>
      <w:r w:rsidR="008B2AA7" w:rsidRPr="00323AF6">
        <w:rPr>
          <w:rFonts w:ascii="Times New Roman" w:hAnsi="Times New Roman" w:cs="Times New Roman"/>
          <w:i/>
        </w:rPr>
        <w:t xml:space="preserve">considera que a utilización </w:t>
      </w:r>
      <w:proofErr w:type="spellStart"/>
      <w:r w:rsidR="008B2AA7" w:rsidRPr="00323AF6">
        <w:rPr>
          <w:rFonts w:ascii="Times New Roman" w:hAnsi="Times New Roman" w:cs="Times New Roman"/>
          <w:i/>
        </w:rPr>
        <w:t>dunha</w:t>
      </w:r>
      <w:proofErr w:type="spellEnd"/>
      <w:r w:rsidR="008B2AA7" w:rsidRPr="00323AF6">
        <w:rPr>
          <w:rFonts w:ascii="Times New Roman" w:hAnsi="Times New Roman" w:cs="Times New Roman"/>
          <w:i/>
        </w:rPr>
        <w:t xml:space="preserve"> Síndrome que non é </w:t>
      </w:r>
      <w:proofErr w:type="spellStart"/>
      <w:r w:rsidR="008B2AA7" w:rsidRPr="00323AF6">
        <w:rPr>
          <w:rFonts w:ascii="Times New Roman" w:hAnsi="Times New Roman" w:cs="Times New Roman"/>
          <w:i/>
        </w:rPr>
        <w:t>recoñecida</w:t>
      </w:r>
      <w:proofErr w:type="spellEnd"/>
      <w:r w:rsidR="008B2AA7" w:rsidRPr="00323AF6">
        <w:rPr>
          <w:rFonts w:ascii="Times New Roman" w:hAnsi="Times New Roman" w:cs="Times New Roman"/>
          <w:i/>
        </w:rPr>
        <w:t xml:space="preserve"> por </w:t>
      </w:r>
      <w:proofErr w:type="spellStart"/>
      <w:r w:rsidR="008B2AA7" w:rsidRPr="00323AF6">
        <w:rPr>
          <w:rFonts w:ascii="Times New Roman" w:hAnsi="Times New Roman" w:cs="Times New Roman"/>
          <w:i/>
        </w:rPr>
        <w:t>ningunha</w:t>
      </w:r>
      <w:proofErr w:type="spellEnd"/>
      <w:r w:rsidR="008B2AA7" w:rsidRPr="00323AF6">
        <w:rPr>
          <w:rFonts w:ascii="Times New Roman" w:hAnsi="Times New Roman" w:cs="Times New Roman"/>
          <w:i/>
        </w:rPr>
        <w:t xml:space="preserve"> asociación profesional </w:t>
      </w:r>
      <w:proofErr w:type="spellStart"/>
      <w:r w:rsidR="008B2AA7" w:rsidRPr="00323AF6">
        <w:rPr>
          <w:rFonts w:ascii="Times New Roman" w:hAnsi="Times New Roman" w:cs="Times New Roman"/>
          <w:i/>
        </w:rPr>
        <w:t>nin</w:t>
      </w:r>
      <w:proofErr w:type="spellEnd"/>
      <w:r w:rsidR="008B2AA7" w:rsidRPr="00323AF6">
        <w:rPr>
          <w:rFonts w:ascii="Times New Roman" w:hAnsi="Times New Roman" w:cs="Times New Roman"/>
          <w:i/>
        </w:rPr>
        <w:t xml:space="preserve"> científica, da que </w:t>
      </w:r>
      <w:proofErr w:type="spellStart"/>
      <w:r w:rsidR="008B2AA7" w:rsidRPr="00323AF6">
        <w:rPr>
          <w:rFonts w:ascii="Times New Roman" w:hAnsi="Times New Roman" w:cs="Times New Roman"/>
          <w:i/>
        </w:rPr>
        <w:t>non</w:t>
      </w:r>
      <w:proofErr w:type="spellEnd"/>
      <w:r w:rsidR="008B2AA7" w:rsidRPr="00323AF6">
        <w:rPr>
          <w:rFonts w:ascii="Times New Roman" w:hAnsi="Times New Roman" w:cs="Times New Roman"/>
          <w:i/>
        </w:rPr>
        <w:t xml:space="preserve"> existe evidencia científica, </w:t>
      </w:r>
      <w:proofErr w:type="spellStart"/>
      <w:r w:rsidR="008B2AA7" w:rsidRPr="00323AF6">
        <w:rPr>
          <w:rFonts w:ascii="Times New Roman" w:hAnsi="Times New Roman" w:cs="Times New Roman"/>
          <w:i/>
        </w:rPr>
        <w:t>só</w:t>
      </w:r>
      <w:proofErr w:type="spellEnd"/>
      <w:r w:rsidR="008B2AA7" w:rsidRPr="00323AF6">
        <w:rPr>
          <w:rFonts w:ascii="Times New Roman" w:hAnsi="Times New Roman" w:cs="Times New Roman"/>
          <w:i/>
        </w:rPr>
        <w:t xml:space="preserve"> </w:t>
      </w:r>
      <w:proofErr w:type="spellStart"/>
      <w:r w:rsidR="008B2AA7" w:rsidRPr="00323AF6">
        <w:rPr>
          <w:rFonts w:ascii="Times New Roman" w:hAnsi="Times New Roman" w:cs="Times New Roman"/>
          <w:i/>
        </w:rPr>
        <w:t>reflicte</w:t>
      </w:r>
      <w:proofErr w:type="spellEnd"/>
      <w:r w:rsidR="008B2AA7" w:rsidRPr="00323AF6">
        <w:rPr>
          <w:rFonts w:ascii="Times New Roman" w:hAnsi="Times New Roman" w:cs="Times New Roman"/>
          <w:i/>
        </w:rPr>
        <w:t xml:space="preserve"> un </w:t>
      </w:r>
      <w:proofErr w:type="spellStart"/>
      <w:r w:rsidR="008B2AA7" w:rsidRPr="00323AF6">
        <w:rPr>
          <w:rFonts w:ascii="Times New Roman" w:hAnsi="Times New Roman" w:cs="Times New Roman"/>
          <w:i/>
        </w:rPr>
        <w:t>plantexamento</w:t>
      </w:r>
      <w:proofErr w:type="spellEnd"/>
      <w:r w:rsidR="008B2AA7" w:rsidRPr="00323AF6">
        <w:rPr>
          <w:rFonts w:ascii="Times New Roman" w:hAnsi="Times New Roman" w:cs="Times New Roman"/>
          <w:i/>
        </w:rPr>
        <w:t xml:space="preserve"> </w:t>
      </w:r>
      <w:proofErr w:type="spellStart"/>
      <w:r w:rsidR="008B2AA7" w:rsidRPr="00323AF6">
        <w:rPr>
          <w:rFonts w:ascii="Times New Roman" w:hAnsi="Times New Roman" w:cs="Times New Roman"/>
          <w:i/>
        </w:rPr>
        <w:t>ideolóxico</w:t>
      </w:r>
      <w:proofErr w:type="spellEnd"/>
      <w:r w:rsidR="008B2AA7" w:rsidRPr="00323AF6">
        <w:rPr>
          <w:rFonts w:ascii="Times New Roman" w:hAnsi="Times New Roman" w:cs="Times New Roman"/>
          <w:i/>
        </w:rPr>
        <w:t xml:space="preserve"> dos </w:t>
      </w:r>
      <w:proofErr w:type="spellStart"/>
      <w:r w:rsidR="008B2AA7" w:rsidRPr="00323AF6">
        <w:rPr>
          <w:rFonts w:ascii="Times New Roman" w:hAnsi="Times New Roman" w:cs="Times New Roman"/>
          <w:i/>
        </w:rPr>
        <w:t>profesionais</w:t>
      </w:r>
      <w:proofErr w:type="spellEnd"/>
      <w:r w:rsidR="008B2AA7" w:rsidRPr="00323AF6">
        <w:rPr>
          <w:rFonts w:ascii="Times New Roman" w:hAnsi="Times New Roman" w:cs="Times New Roman"/>
          <w:i/>
        </w:rPr>
        <w:t xml:space="preserve"> que o utilizan no marco dos </w:t>
      </w:r>
      <w:proofErr w:type="spellStart"/>
      <w:r w:rsidR="008B2AA7" w:rsidRPr="00323AF6">
        <w:rPr>
          <w:rFonts w:ascii="Times New Roman" w:hAnsi="Times New Roman" w:cs="Times New Roman"/>
          <w:i/>
        </w:rPr>
        <w:t>litixios</w:t>
      </w:r>
      <w:proofErr w:type="spellEnd"/>
      <w:r w:rsidR="008B2AA7" w:rsidRPr="00323AF6">
        <w:rPr>
          <w:rFonts w:ascii="Times New Roman" w:hAnsi="Times New Roman" w:cs="Times New Roman"/>
          <w:i/>
        </w:rPr>
        <w:t xml:space="preserve"> </w:t>
      </w:r>
      <w:proofErr w:type="spellStart"/>
      <w:r w:rsidR="008B2AA7" w:rsidRPr="00323AF6">
        <w:rPr>
          <w:rFonts w:ascii="Times New Roman" w:hAnsi="Times New Roman" w:cs="Times New Roman"/>
          <w:i/>
        </w:rPr>
        <w:t>pola</w:t>
      </w:r>
      <w:proofErr w:type="spellEnd"/>
      <w:r w:rsidR="008B2AA7" w:rsidRPr="00323AF6">
        <w:rPr>
          <w:rFonts w:ascii="Times New Roman" w:hAnsi="Times New Roman" w:cs="Times New Roman"/>
          <w:i/>
        </w:rPr>
        <w:t xml:space="preserve"> </w:t>
      </w:r>
      <w:proofErr w:type="spellStart"/>
      <w:r w:rsidR="008B2AA7" w:rsidRPr="00323AF6">
        <w:rPr>
          <w:rFonts w:ascii="Times New Roman" w:hAnsi="Times New Roman" w:cs="Times New Roman"/>
          <w:i/>
        </w:rPr>
        <w:t>garda</w:t>
      </w:r>
      <w:proofErr w:type="spellEnd"/>
      <w:r w:rsidR="008B2AA7" w:rsidRPr="00323AF6">
        <w:rPr>
          <w:rFonts w:ascii="Times New Roman" w:hAnsi="Times New Roman" w:cs="Times New Roman"/>
          <w:i/>
        </w:rPr>
        <w:t xml:space="preserve"> e custodia dos </w:t>
      </w:r>
      <w:proofErr w:type="spellStart"/>
      <w:r w:rsidR="008B2AA7" w:rsidRPr="00323AF6">
        <w:rPr>
          <w:rFonts w:ascii="Times New Roman" w:hAnsi="Times New Roman" w:cs="Times New Roman"/>
          <w:i/>
        </w:rPr>
        <w:t>fillos</w:t>
      </w:r>
      <w:proofErr w:type="spellEnd"/>
      <w:r w:rsidR="008B2AA7" w:rsidRPr="00323AF6">
        <w:rPr>
          <w:rFonts w:ascii="Times New Roman" w:hAnsi="Times New Roman" w:cs="Times New Roman"/>
          <w:i/>
        </w:rPr>
        <w:t xml:space="preserve">/as para "describir" un </w:t>
      </w:r>
      <w:proofErr w:type="spellStart"/>
      <w:r w:rsidR="008B2AA7" w:rsidRPr="00323AF6">
        <w:rPr>
          <w:rFonts w:ascii="Times New Roman" w:hAnsi="Times New Roman" w:cs="Times New Roman"/>
          <w:i/>
        </w:rPr>
        <w:t>conxunto</w:t>
      </w:r>
      <w:proofErr w:type="spellEnd"/>
      <w:r w:rsidR="008B2AA7" w:rsidRPr="00323AF6">
        <w:rPr>
          <w:rFonts w:ascii="Times New Roman" w:hAnsi="Times New Roman" w:cs="Times New Roman"/>
          <w:i/>
        </w:rPr>
        <w:t xml:space="preserve"> signos que poden ter diferentes causas, pero que en ningún caso ten </w:t>
      </w:r>
      <w:proofErr w:type="spellStart"/>
      <w:r w:rsidR="008B2AA7" w:rsidRPr="00323AF6">
        <w:rPr>
          <w:rFonts w:ascii="Times New Roman" w:hAnsi="Times New Roman" w:cs="Times New Roman"/>
          <w:i/>
        </w:rPr>
        <w:t>entidade</w:t>
      </w:r>
      <w:proofErr w:type="spellEnd"/>
      <w:r w:rsidR="008B2AA7" w:rsidRPr="00323AF6">
        <w:rPr>
          <w:rFonts w:ascii="Times New Roman" w:hAnsi="Times New Roman" w:cs="Times New Roman"/>
          <w:i/>
        </w:rPr>
        <w:t xml:space="preserve"> diagnóstica por carecer de rigor teórico e empírico para a determinación fiable dos </w:t>
      </w:r>
      <w:proofErr w:type="spellStart"/>
      <w:r w:rsidR="008B2AA7" w:rsidRPr="00323AF6">
        <w:rPr>
          <w:rFonts w:ascii="Times New Roman" w:hAnsi="Times New Roman" w:cs="Times New Roman"/>
          <w:i/>
        </w:rPr>
        <w:t>seus</w:t>
      </w:r>
      <w:proofErr w:type="spellEnd"/>
      <w:r w:rsidR="008B2AA7" w:rsidRPr="00323AF6">
        <w:rPr>
          <w:rFonts w:ascii="Times New Roman" w:hAnsi="Times New Roman" w:cs="Times New Roman"/>
          <w:i/>
        </w:rPr>
        <w:t xml:space="preserve"> correlatos e causas.</w:t>
      </w:r>
      <w:r w:rsidRPr="00323AF6">
        <w:rPr>
          <w:rFonts w:ascii="Times New Roman" w:hAnsi="Times New Roman" w:cs="Times New Roman"/>
          <w:i/>
        </w:rPr>
        <w:t>”</w:t>
      </w:r>
      <w:r w:rsidR="008B2AA7" w:rsidRPr="00323AF6">
        <w:rPr>
          <w:rFonts w:ascii="Times New Roman" w:hAnsi="Times New Roman" w:cs="Times New Roman"/>
          <w:i/>
        </w:rPr>
        <w:t xml:space="preserve"> </w:t>
      </w:r>
    </w:p>
    <w:p w:rsidR="002254E8" w:rsidRDefault="002254E8" w:rsidP="002254E8">
      <w:pPr>
        <w:pStyle w:val="NormalWeb"/>
        <w:jc w:val="both"/>
      </w:pPr>
      <w:r>
        <w:tab/>
      </w:r>
      <w:r w:rsidRPr="007D271E">
        <w:t xml:space="preserve">Por todo </w:t>
      </w:r>
      <w:r w:rsidRPr="0085714C">
        <w:t>ello</w:t>
      </w:r>
      <w:r w:rsidRPr="0085714C">
        <w:rPr>
          <w:color w:val="FF0000"/>
        </w:rPr>
        <w:t xml:space="preserve"> </w:t>
      </w:r>
      <w:r w:rsidRPr="007036DE">
        <w:t>considero</w:t>
      </w:r>
      <w:r>
        <w:t>,</w:t>
      </w:r>
      <w:r w:rsidRPr="007D271E">
        <w:t xml:space="preserve"> que en los informes psicológicos, periciales y declaraciones como testigos-peritos o per</w:t>
      </w:r>
      <w:r>
        <w:t>itos en caso de que se piense</w:t>
      </w:r>
      <w:r w:rsidRPr="007D271E">
        <w:t xml:space="preserve"> por parte del/la profesional  que ha habido manipulación de los/as menores por parte de alguno de los progenitores no debería citarse como causa del rechazo manifestado por los/as hijos/as hacia uno</w:t>
      </w:r>
      <w:r w:rsidR="000A7204">
        <w:t xml:space="preserve"> u otro progenitor el supuesto s</w:t>
      </w:r>
      <w:r w:rsidRPr="007D271E">
        <w:t>índrome de alienación parental , síndrome que hasta la fecha ha sido rechazado sin ningún tipo de duda por la co</w:t>
      </w:r>
      <w:r w:rsidR="00D27343">
        <w:t>munidad científica. Y en esto nuestro</w:t>
      </w:r>
      <w:r w:rsidRPr="007D271E">
        <w:t xml:space="preserve"> Código deontol</w:t>
      </w:r>
      <w:r>
        <w:t>ógico es claro</w:t>
      </w:r>
      <w:r w:rsidRPr="007D271E">
        <w:t>, en el artículo 6 de los principios generales s</w:t>
      </w:r>
      <w:r>
        <w:t>e nos dice</w:t>
      </w:r>
      <w:r w:rsidRPr="007D271E">
        <w:t>:</w:t>
      </w:r>
    </w:p>
    <w:p w:rsidR="002254E8" w:rsidRDefault="002254E8" w:rsidP="002254E8">
      <w:pPr>
        <w:pStyle w:val="NormalWeb"/>
        <w:jc w:val="both"/>
        <w:rPr>
          <w:i/>
          <w:iCs/>
        </w:rPr>
      </w:pPr>
      <w:r w:rsidRPr="001D18A2">
        <w:rPr>
          <w:i/>
          <w:iCs/>
        </w:rPr>
        <w:t>“La profesión de Psicólogo/a se rige por principios comunes a toda deontología profesional: respeto a la persona, protección de los derechos humanos, sentido de responsabilidad, honestidad, sinceridad para con los clientes, prudencia en la aplicación de instrumentos y técnicas, competencia profesional, solidez de la fundamentación objetiva y científica de sus intervenciones profesionales.”</w:t>
      </w:r>
    </w:p>
    <w:p w:rsidR="00277F2A" w:rsidRDefault="000A7204" w:rsidP="00C43A3F">
      <w:pPr>
        <w:autoSpaceDE w:val="0"/>
        <w:autoSpaceDN w:val="0"/>
        <w:adjustRightInd w:val="0"/>
        <w:jc w:val="both"/>
        <w:rPr>
          <w:rFonts w:eastAsiaTheme="minorHAnsi"/>
          <w:lang w:eastAsia="en-US"/>
        </w:rPr>
      </w:pPr>
      <w:r>
        <w:rPr>
          <w:iCs/>
        </w:rPr>
        <w:tab/>
      </w:r>
      <w:r w:rsidR="008529BE" w:rsidRPr="004F1F10">
        <w:rPr>
          <w:iCs/>
        </w:rPr>
        <w:t xml:space="preserve">No de menor importancia </w:t>
      </w:r>
      <w:r w:rsidR="00E0390B" w:rsidRPr="004F1F10">
        <w:rPr>
          <w:iCs/>
        </w:rPr>
        <w:t xml:space="preserve">es que se haga difusión entre los profesionales forenses, de salud mental </w:t>
      </w:r>
      <w:r w:rsidR="00C11A87" w:rsidRPr="004F1F10">
        <w:rPr>
          <w:iCs/>
        </w:rPr>
        <w:t>y justicia como se llegó a la “construcción”</w:t>
      </w:r>
      <w:r w:rsidR="000D2107" w:rsidRPr="004F1F10">
        <w:rPr>
          <w:iCs/>
        </w:rPr>
        <w:t xml:space="preserve"> del supuesto síndrome</w:t>
      </w:r>
      <w:r w:rsidR="008A7DD2" w:rsidRPr="004F1F10">
        <w:rPr>
          <w:iCs/>
        </w:rPr>
        <w:t>,</w:t>
      </w:r>
      <w:r w:rsidR="005F2268" w:rsidRPr="004F1F10">
        <w:rPr>
          <w:iCs/>
        </w:rPr>
        <w:t xml:space="preserve"> de la indefensión</w:t>
      </w:r>
      <w:r w:rsidR="004F1F10" w:rsidRPr="004F1F10">
        <w:rPr>
          <w:iCs/>
        </w:rPr>
        <w:t xml:space="preserve"> (</w:t>
      </w:r>
      <w:r w:rsidR="005F2268" w:rsidRPr="004F1F10">
        <w:rPr>
          <w:iCs/>
        </w:rPr>
        <w:t xml:space="preserve">puesto que  </w:t>
      </w:r>
      <w:r w:rsidR="005F2268" w:rsidRPr="004F1F10">
        <w:rPr>
          <w:rFonts w:eastAsiaTheme="minorHAnsi"/>
          <w:lang w:eastAsia="en-US"/>
        </w:rPr>
        <w:t>todo intento de defensa se convierte en</w:t>
      </w:r>
      <w:r w:rsidR="004F1F10" w:rsidRPr="004F1F10">
        <w:rPr>
          <w:rFonts w:eastAsiaTheme="minorHAnsi"/>
          <w:lang w:eastAsia="en-US"/>
        </w:rPr>
        <w:t xml:space="preserve"> </w:t>
      </w:r>
      <w:r w:rsidR="005F2268" w:rsidRPr="004F1F10">
        <w:rPr>
          <w:rFonts w:eastAsiaTheme="minorHAnsi"/>
          <w:lang w:eastAsia="en-US"/>
        </w:rPr>
        <w:t>auto</w:t>
      </w:r>
      <w:r w:rsidR="00C43A3F">
        <w:rPr>
          <w:rFonts w:eastAsiaTheme="minorHAnsi"/>
          <w:lang w:eastAsia="en-US"/>
        </w:rPr>
        <w:t xml:space="preserve"> </w:t>
      </w:r>
      <w:r w:rsidR="005F2268" w:rsidRPr="004F1F10">
        <w:rPr>
          <w:rFonts w:eastAsiaTheme="minorHAnsi"/>
          <w:lang w:eastAsia="en-US"/>
        </w:rPr>
        <w:t>confirmación del diagnóstico asignado</w:t>
      </w:r>
      <w:r w:rsidR="004F1F10" w:rsidRPr="004F1F10">
        <w:rPr>
          <w:rFonts w:eastAsiaTheme="minorHAnsi"/>
          <w:lang w:eastAsia="en-US"/>
        </w:rPr>
        <w:t>)</w:t>
      </w:r>
      <w:r w:rsidR="005F2268" w:rsidRPr="004F1F10">
        <w:rPr>
          <w:rFonts w:eastAsiaTheme="minorHAnsi"/>
          <w:lang w:eastAsia="en-US"/>
        </w:rPr>
        <w:t xml:space="preserve"> </w:t>
      </w:r>
      <w:r w:rsidR="004F1F10">
        <w:rPr>
          <w:rFonts w:eastAsiaTheme="minorHAnsi"/>
          <w:lang w:eastAsia="en-US"/>
        </w:rPr>
        <w:t xml:space="preserve"> y </w:t>
      </w:r>
      <w:r w:rsidR="00C11A87" w:rsidRPr="004F1F10">
        <w:rPr>
          <w:iCs/>
        </w:rPr>
        <w:t xml:space="preserve">de las </w:t>
      </w:r>
      <w:r w:rsidR="000618D7" w:rsidRPr="004F1F10">
        <w:rPr>
          <w:iCs/>
        </w:rPr>
        <w:t xml:space="preserve">nefastas </w:t>
      </w:r>
      <w:r w:rsidR="00C11A87" w:rsidRPr="004F1F10">
        <w:rPr>
          <w:iCs/>
        </w:rPr>
        <w:t xml:space="preserve">consecuencias de su aplicación para las </w:t>
      </w:r>
      <w:r w:rsidR="000618D7" w:rsidRPr="004F1F10">
        <w:rPr>
          <w:iCs/>
        </w:rPr>
        <w:t>vidas de los menores implicados y de sus madres (puesto que generalmente</w:t>
      </w:r>
      <w:r w:rsidR="000D2107" w:rsidRPr="004F1F10">
        <w:rPr>
          <w:iCs/>
        </w:rPr>
        <w:t xml:space="preserve"> son</w:t>
      </w:r>
      <w:r w:rsidR="004F1F10">
        <w:rPr>
          <w:iCs/>
        </w:rPr>
        <w:t xml:space="preserve"> ellas </w:t>
      </w:r>
      <w:r w:rsidR="000D2107" w:rsidRPr="004F1F10">
        <w:rPr>
          <w:iCs/>
        </w:rPr>
        <w:t xml:space="preserve"> los progen</w:t>
      </w:r>
      <w:r w:rsidR="000618D7" w:rsidRPr="004F1F10">
        <w:rPr>
          <w:iCs/>
        </w:rPr>
        <w:t xml:space="preserve">itores </w:t>
      </w:r>
      <w:r w:rsidR="000D2107" w:rsidRPr="004F1F10">
        <w:rPr>
          <w:iCs/>
        </w:rPr>
        <w:t xml:space="preserve"> custodios).</w:t>
      </w:r>
    </w:p>
    <w:p w:rsidR="00C43A3F" w:rsidRPr="00F679E4" w:rsidRDefault="00C43A3F" w:rsidP="00C43A3F">
      <w:pPr>
        <w:autoSpaceDE w:val="0"/>
        <w:autoSpaceDN w:val="0"/>
        <w:adjustRightInd w:val="0"/>
        <w:jc w:val="both"/>
        <w:rPr>
          <w:rFonts w:eastAsiaTheme="minorHAnsi"/>
          <w:lang w:eastAsia="en-US"/>
        </w:rPr>
      </w:pPr>
      <w:r w:rsidRPr="00F679E4">
        <w:rPr>
          <w:rFonts w:eastAsiaTheme="minorHAnsi"/>
          <w:lang w:eastAsia="en-US"/>
        </w:rPr>
        <w:lastRenderedPageBreak/>
        <w:t>REFERENCIAS BIBLIOGRÁFICAS</w:t>
      </w:r>
    </w:p>
    <w:p w:rsidR="005E399C" w:rsidRPr="00F679E4" w:rsidRDefault="005E399C" w:rsidP="00C43A3F">
      <w:pPr>
        <w:autoSpaceDE w:val="0"/>
        <w:autoSpaceDN w:val="0"/>
        <w:adjustRightInd w:val="0"/>
        <w:jc w:val="both"/>
        <w:rPr>
          <w:rFonts w:eastAsiaTheme="minorHAnsi"/>
          <w:lang w:eastAsia="en-US"/>
        </w:rPr>
      </w:pPr>
    </w:p>
    <w:p w:rsidR="00160979" w:rsidRDefault="00160979" w:rsidP="00160979">
      <w:pPr>
        <w:pStyle w:val="Bibliografa"/>
        <w:ind w:left="567" w:hanging="567"/>
        <w:rPr>
          <w:rFonts w:ascii="Times New Roman" w:hAnsi="Times New Roman" w:cs="Times New Roman"/>
          <w:noProof/>
          <w:sz w:val="24"/>
          <w:szCs w:val="24"/>
        </w:rPr>
      </w:pPr>
      <w:r w:rsidRPr="00F679E4">
        <w:rPr>
          <w:rFonts w:ascii="Times New Roman" w:hAnsi="Times New Roman" w:cs="Times New Roman"/>
          <w:noProof/>
          <w:sz w:val="24"/>
          <w:szCs w:val="24"/>
        </w:rPr>
        <w:t xml:space="preserve">Aguilar Cuenca, J. M. (2004). </w:t>
      </w:r>
      <w:r w:rsidRPr="00F679E4">
        <w:rPr>
          <w:rFonts w:ascii="Times New Roman" w:hAnsi="Times New Roman" w:cs="Times New Roman"/>
          <w:i/>
          <w:iCs/>
          <w:noProof/>
          <w:sz w:val="24"/>
          <w:szCs w:val="24"/>
        </w:rPr>
        <w:t>S.A.P. Síndrome de Alienación Parental, Hijos manipulados por un cónyuge para odiar a otro.</w:t>
      </w:r>
      <w:r w:rsidRPr="00F679E4">
        <w:rPr>
          <w:rFonts w:ascii="Times New Roman" w:hAnsi="Times New Roman" w:cs="Times New Roman"/>
          <w:noProof/>
          <w:sz w:val="24"/>
          <w:szCs w:val="24"/>
        </w:rPr>
        <w:t xml:space="preserve"> Córdoba: Almuzara.</w:t>
      </w:r>
    </w:p>
    <w:p w:rsidR="00EA5144" w:rsidRPr="00F679E4" w:rsidRDefault="00EA5144" w:rsidP="00C63A9F">
      <w:pPr>
        <w:pStyle w:val="Bibliografa"/>
        <w:ind w:left="567" w:hanging="567"/>
        <w:rPr>
          <w:rFonts w:ascii="Times New Roman" w:hAnsi="Times New Roman" w:cs="Times New Roman"/>
          <w:noProof/>
          <w:sz w:val="24"/>
          <w:szCs w:val="24"/>
        </w:rPr>
      </w:pPr>
      <w:r w:rsidRPr="00F679E4">
        <w:rPr>
          <w:rFonts w:ascii="Times New Roman" w:hAnsi="Times New Roman" w:cs="Times New Roman"/>
          <w:noProof/>
          <w:sz w:val="24"/>
          <w:szCs w:val="24"/>
        </w:rPr>
        <w:t xml:space="preserve">Asociación Española de Neuropsiquiatría (2010). La Asociación Española de Neuropsiquiatría hace la siguiente declaración en contra del uso clínico y legal del llamado Síndrome de Alienación Parental. </w:t>
      </w:r>
      <w:r w:rsidRPr="00F679E4">
        <w:rPr>
          <w:rFonts w:ascii="Times New Roman" w:hAnsi="Times New Roman" w:cs="Times New Roman"/>
          <w:i/>
          <w:iCs/>
          <w:noProof/>
          <w:sz w:val="24"/>
          <w:szCs w:val="24"/>
        </w:rPr>
        <w:t>AEN</w:t>
      </w:r>
      <w:r w:rsidRPr="00F679E4">
        <w:rPr>
          <w:rFonts w:ascii="Times New Roman" w:hAnsi="Times New Roman" w:cs="Times New Roman"/>
          <w:noProof/>
          <w:sz w:val="24"/>
          <w:szCs w:val="24"/>
        </w:rPr>
        <w:t xml:space="preserve"> , 2.</w:t>
      </w:r>
    </w:p>
    <w:p w:rsidR="005E399C" w:rsidRPr="00F679E4" w:rsidRDefault="00047873" w:rsidP="00C63A9F">
      <w:pPr>
        <w:pStyle w:val="Bibliografa"/>
        <w:ind w:left="567" w:hanging="567"/>
        <w:rPr>
          <w:rFonts w:ascii="Times New Roman" w:hAnsi="Times New Roman" w:cs="Times New Roman"/>
          <w:noProof/>
          <w:sz w:val="24"/>
          <w:szCs w:val="24"/>
        </w:rPr>
      </w:pPr>
      <w:r w:rsidRPr="00F679E4">
        <w:rPr>
          <w:rFonts w:ascii="Times New Roman" w:hAnsi="Times New Roman" w:cs="Times New Roman"/>
          <w:noProof/>
          <w:sz w:val="24"/>
          <w:szCs w:val="24"/>
        </w:rPr>
        <w:t>Asociación Española de Neuropsiquiatría</w:t>
      </w:r>
      <w:r w:rsidR="005E399C" w:rsidRPr="00F679E4">
        <w:rPr>
          <w:rFonts w:ascii="Times New Roman" w:hAnsi="Times New Roman" w:cs="Times New Roman"/>
          <w:noProof/>
          <w:sz w:val="24"/>
          <w:szCs w:val="24"/>
        </w:rPr>
        <w:t xml:space="preserve"> (26 de III de 2008). </w:t>
      </w:r>
      <w:r w:rsidR="005E399C" w:rsidRPr="00F679E4">
        <w:rPr>
          <w:rFonts w:ascii="Times New Roman" w:hAnsi="Times New Roman" w:cs="Times New Roman"/>
          <w:i/>
          <w:iCs/>
          <w:noProof/>
          <w:sz w:val="24"/>
          <w:szCs w:val="24"/>
        </w:rPr>
        <w:t>La construcción teorica del Sindrome de alienación Parental de Gardner (SAP) como base para cambios judiciales de custodia de menores. Análisis sobre su soporte científico y riesgos de aplicación</w:t>
      </w:r>
      <w:r w:rsidR="005E399C" w:rsidRPr="00F679E4">
        <w:rPr>
          <w:rFonts w:ascii="Times New Roman" w:hAnsi="Times New Roman" w:cs="Times New Roman"/>
          <w:noProof/>
          <w:sz w:val="24"/>
          <w:szCs w:val="24"/>
        </w:rPr>
        <w:t>.</w:t>
      </w:r>
      <w:r w:rsidR="003B37B5">
        <w:rPr>
          <w:rFonts w:ascii="Times New Roman" w:hAnsi="Times New Roman" w:cs="Times New Roman"/>
          <w:noProof/>
          <w:sz w:val="24"/>
          <w:szCs w:val="24"/>
        </w:rPr>
        <w:t xml:space="preserve"> Escudero, A.; Aguilar L. y de la Cruz, J. (Dir.).</w:t>
      </w:r>
      <w:r w:rsidR="005E399C" w:rsidRPr="00F679E4">
        <w:rPr>
          <w:rFonts w:ascii="Times New Roman" w:hAnsi="Times New Roman" w:cs="Times New Roman"/>
          <w:noProof/>
          <w:sz w:val="24"/>
          <w:szCs w:val="24"/>
        </w:rPr>
        <w:t xml:space="preserve"> Obtenido de </w:t>
      </w:r>
      <w:hyperlink r:id="rId7" w:history="1">
        <w:r w:rsidRPr="00F679E4">
          <w:rPr>
            <w:rStyle w:val="Hipervnculo"/>
            <w:rFonts w:ascii="Times New Roman" w:hAnsi="Times New Roman" w:cs="Times New Roman"/>
            <w:noProof/>
            <w:sz w:val="24"/>
            <w:szCs w:val="24"/>
          </w:rPr>
          <w:t>www.observatorioviolencia.org/.../DOC1273742537_Pronunciamiento_SAP_AEN.pdf</w:t>
        </w:r>
      </w:hyperlink>
    </w:p>
    <w:p w:rsidR="00047873" w:rsidRPr="00160979" w:rsidRDefault="00160979" w:rsidP="00160979">
      <w:pPr>
        <w:pStyle w:val="Bibliografa"/>
        <w:ind w:left="567" w:hanging="567"/>
        <w:rPr>
          <w:rFonts w:ascii="Times New Roman" w:hAnsi="Times New Roman" w:cs="Times New Roman"/>
          <w:noProof/>
          <w:sz w:val="24"/>
          <w:szCs w:val="24"/>
        </w:rPr>
      </w:pPr>
      <w:r w:rsidRPr="00F679E4">
        <w:rPr>
          <w:rFonts w:ascii="Times New Roman" w:hAnsi="Times New Roman" w:cs="Times New Roman"/>
          <w:noProof/>
          <w:sz w:val="24"/>
          <w:szCs w:val="24"/>
        </w:rPr>
        <w:t>Audiencia Provincial de</w:t>
      </w:r>
      <w:r w:rsidR="00C96A2D">
        <w:rPr>
          <w:rFonts w:ascii="Times New Roman" w:hAnsi="Times New Roman" w:cs="Times New Roman"/>
          <w:noProof/>
          <w:sz w:val="24"/>
          <w:szCs w:val="24"/>
        </w:rPr>
        <w:t xml:space="preserve"> </w:t>
      </w:r>
      <w:r w:rsidRPr="00F679E4">
        <w:rPr>
          <w:rFonts w:ascii="Times New Roman" w:hAnsi="Times New Roman" w:cs="Times New Roman"/>
          <w:noProof/>
          <w:sz w:val="24"/>
          <w:szCs w:val="24"/>
        </w:rPr>
        <w:t xml:space="preserve">Bizkaia (2008) Sección 6ª, Sentencia nº 256/08. Disponible en </w:t>
      </w:r>
      <w:hyperlink r:id="rId8" w:history="1">
        <w:r w:rsidRPr="00F679E4">
          <w:rPr>
            <w:rStyle w:val="Hipervnculo"/>
            <w:rFonts w:ascii="Times New Roman" w:hAnsi="Times New Roman" w:cs="Times New Roman"/>
            <w:sz w:val="24"/>
            <w:szCs w:val="24"/>
          </w:rPr>
          <w:t>http://www.codigo-civil.org/archives/363</w:t>
        </w:r>
      </w:hyperlink>
    </w:p>
    <w:p w:rsidR="00160979" w:rsidRPr="00F679E4" w:rsidRDefault="00160979" w:rsidP="00047873">
      <w:pPr>
        <w:rPr>
          <w:lang w:eastAsia="en-US"/>
        </w:rPr>
      </w:pPr>
    </w:p>
    <w:p w:rsidR="00A54DA3" w:rsidRPr="00F679E4" w:rsidRDefault="00A54DA3" w:rsidP="00C63A9F">
      <w:pPr>
        <w:pStyle w:val="Bibliografa"/>
        <w:ind w:left="567" w:hanging="567"/>
        <w:rPr>
          <w:rFonts w:ascii="Times New Roman" w:hAnsi="Times New Roman" w:cs="Times New Roman"/>
          <w:noProof/>
          <w:sz w:val="24"/>
          <w:szCs w:val="24"/>
        </w:rPr>
      </w:pPr>
      <w:r w:rsidRPr="00F679E4">
        <w:rPr>
          <w:rFonts w:ascii="Times New Roman" w:hAnsi="Times New Roman" w:cs="Times New Roman"/>
          <w:noProof/>
          <w:sz w:val="24"/>
          <w:szCs w:val="24"/>
        </w:rPr>
        <w:t xml:space="preserve">Consejo General del Poder Judicial (2016). </w:t>
      </w:r>
      <w:r w:rsidRPr="00F679E4">
        <w:rPr>
          <w:rFonts w:ascii="Times New Roman" w:hAnsi="Times New Roman" w:cs="Times New Roman"/>
          <w:i/>
          <w:iCs/>
          <w:noProof/>
          <w:sz w:val="24"/>
          <w:szCs w:val="24"/>
        </w:rPr>
        <w:t>El Tribunal Supremo constata que la proporción de falsos relatos de abuso sexual infantil por parte de las víctimas es muy reducida.</w:t>
      </w:r>
      <w:r w:rsidRPr="00F679E4">
        <w:rPr>
          <w:rFonts w:ascii="Times New Roman" w:hAnsi="Times New Roman" w:cs="Times New Roman"/>
          <w:noProof/>
          <w:sz w:val="24"/>
          <w:szCs w:val="24"/>
        </w:rPr>
        <w:t xml:space="preserve"> Obtenido de http://www.poderjudicial.es/cgpj/es/Poder-Judicial/Noticias-Judiciales/El-Tribunal-Supremo-constata-que-la-proporcion-de-falsos-relatos-de-abuso-sexual-infantil-por-parte-de-las-victimas-es-muy-reducida</w:t>
      </w:r>
    </w:p>
    <w:p w:rsidR="00A54DA3" w:rsidRPr="00F679E4" w:rsidRDefault="00A54DA3" w:rsidP="00C63A9F">
      <w:pPr>
        <w:pStyle w:val="Bibliografa"/>
        <w:ind w:left="567" w:hanging="567"/>
        <w:rPr>
          <w:rFonts w:ascii="Times New Roman" w:hAnsi="Times New Roman" w:cs="Times New Roman"/>
          <w:noProof/>
          <w:sz w:val="24"/>
          <w:szCs w:val="24"/>
        </w:rPr>
      </w:pPr>
      <w:r w:rsidRPr="00F679E4">
        <w:rPr>
          <w:rFonts w:ascii="Times New Roman" w:hAnsi="Times New Roman" w:cs="Times New Roman"/>
          <w:noProof/>
          <w:sz w:val="24"/>
          <w:szCs w:val="24"/>
        </w:rPr>
        <w:t xml:space="preserve">Consejo General del Poder Judicial (2015). </w:t>
      </w:r>
      <w:r w:rsidRPr="00F679E4">
        <w:rPr>
          <w:rFonts w:ascii="Times New Roman" w:hAnsi="Times New Roman" w:cs="Times New Roman"/>
          <w:i/>
          <w:iCs/>
          <w:noProof/>
          <w:sz w:val="24"/>
          <w:szCs w:val="24"/>
        </w:rPr>
        <w:t>Violencia sobre la mujer. Año 2014. Datos de denuncias, procedimientos penales y civiles registrados, órdenes de protección, solicitadas en los juzgados de Violencia sobre la Mujer (JVM) y sentencias dictadas por los organismos jurisdiccionales.</w:t>
      </w:r>
      <w:r w:rsidRPr="00F679E4">
        <w:rPr>
          <w:rFonts w:ascii="Times New Roman" w:hAnsi="Times New Roman" w:cs="Times New Roman"/>
          <w:noProof/>
          <w:sz w:val="24"/>
          <w:szCs w:val="24"/>
        </w:rPr>
        <w:t xml:space="preserve"> </w:t>
      </w:r>
    </w:p>
    <w:p w:rsidR="00A54DA3" w:rsidRPr="00F679E4" w:rsidRDefault="00A54DA3" w:rsidP="00C63A9F">
      <w:pPr>
        <w:pStyle w:val="Bibliografa"/>
        <w:ind w:left="567" w:hanging="567"/>
        <w:rPr>
          <w:rFonts w:ascii="Times New Roman" w:hAnsi="Times New Roman" w:cs="Times New Roman"/>
          <w:noProof/>
          <w:sz w:val="24"/>
          <w:szCs w:val="24"/>
        </w:rPr>
      </w:pPr>
      <w:r w:rsidRPr="00F679E4">
        <w:rPr>
          <w:rFonts w:ascii="Times New Roman" w:hAnsi="Times New Roman" w:cs="Times New Roman"/>
          <w:noProof/>
          <w:sz w:val="24"/>
          <w:szCs w:val="24"/>
        </w:rPr>
        <w:t xml:space="preserve">Consejo General del Poder Judicial (2008). </w:t>
      </w:r>
      <w:r w:rsidRPr="00F679E4">
        <w:rPr>
          <w:rFonts w:ascii="Times New Roman" w:hAnsi="Times New Roman" w:cs="Times New Roman"/>
          <w:i/>
          <w:iCs/>
          <w:noProof/>
          <w:sz w:val="24"/>
          <w:szCs w:val="24"/>
        </w:rPr>
        <w:t>Guía de criterios de actuación judicial frente a la violencia de género.</w:t>
      </w:r>
      <w:r w:rsidRPr="00F679E4">
        <w:rPr>
          <w:rFonts w:ascii="Times New Roman" w:hAnsi="Times New Roman" w:cs="Times New Roman"/>
          <w:noProof/>
          <w:sz w:val="24"/>
          <w:szCs w:val="24"/>
        </w:rPr>
        <w:t xml:space="preserve"> Obtenido de Malos Tratos. org: www.malostratos.org/images/pdf/08%20GUIA%20JUDICIAL.pdf</w:t>
      </w:r>
    </w:p>
    <w:p w:rsidR="005E399C" w:rsidRPr="00F679E4" w:rsidRDefault="00444266" w:rsidP="005E399C">
      <w:pPr>
        <w:pStyle w:val="Bibliografa"/>
        <w:rPr>
          <w:rFonts w:ascii="Times New Roman" w:hAnsi="Times New Roman" w:cs="Times New Roman"/>
          <w:noProof/>
          <w:sz w:val="24"/>
          <w:szCs w:val="24"/>
          <w:lang w:val="en-GB"/>
        </w:rPr>
      </w:pPr>
      <w:r w:rsidRPr="00C96A2D">
        <w:rPr>
          <w:rFonts w:ascii="Times New Roman" w:hAnsi="Times New Roman" w:cs="Times New Roman"/>
          <w:noProof/>
          <w:sz w:val="24"/>
          <w:szCs w:val="24"/>
        </w:rPr>
        <w:t>Fiscalía General del Estado</w:t>
      </w:r>
      <w:r w:rsidR="005E399C" w:rsidRPr="00C96A2D">
        <w:rPr>
          <w:rFonts w:ascii="Times New Roman" w:hAnsi="Times New Roman" w:cs="Times New Roman"/>
          <w:noProof/>
          <w:sz w:val="24"/>
          <w:szCs w:val="24"/>
        </w:rPr>
        <w:t xml:space="preserve"> (2009). Circular 3/2009. </w:t>
      </w:r>
      <w:r w:rsidR="005E399C" w:rsidRPr="00F679E4">
        <w:rPr>
          <w:rFonts w:ascii="Times New Roman" w:hAnsi="Times New Roman" w:cs="Times New Roman"/>
          <w:noProof/>
          <w:sz w:val="24"/>
          <w:szCs w:val="24"/>
          <w:lang w:val="en-GB"/>
        </w:rPr>
        <w:t>61.</w:t>
      </w:r>
    </w:p>
    <w:p w:rsidR="00EA5144" w:rsidRPr="00F679E4" w:rsidRDefault="00EA5144" w:rsidP="00C63A9F">
      <w:pPr>
        <w:pStyle w:val="Bibliografa"/>
        <w:ind w:left="567" w:hanging="567"/>
        <w:rPr>
          <w:rFonts w:ascii="Times New Roman" w:hAnsi="Times New Roman" w:cs="Times New Roman"/>
          <w:noProof/>
          <w:sz w:val="24"/>
          <w:szCs w:val="24"/>
          <w:lang w:val="en-GB"/>
        </w:rPr>
      </w:pPr>
      <w:r w:rsidRPr="00F679E4">
        <w:rPr>
          <w:rFonts w:ascii="Times New Roman" w:hAnsi="Times New Roman" w:cs="Times New Roman"/>
          <w:noProof/>
          <w:sz w:val="24"/>
          <w:szCs w:val="24"/>
          <w:lang w:val="en-GB"/>
        </w:rPr>
        <w:t xml:space="preserve">Gardner, R. A. (2004). The relationship between the Parental Alienation Syndrome (PAS) and the False Memory Syndrome (FMS). </w:t>
      </w:r>
      <w:r w:rsidRPr="00F679E4">
        <w:rPr>
          <w:rFonts w:ascii="Times New Roman" w:hAnsi="Times New Roman" w:cs="Times New Roman"/>
          <w:i/>
          <w:iCs/>
          <w:noProof/>
          <w:sz w:val="24"/>
          <w:szCs w:val="24"/>
          <w:lang w:val="en-GB"/>
        </w:rPr>
        <w:t>The American Journal of Family Therapy</w:t>
      </w:r>
      <w:r w:rsidRPr="00F679E4">
        <w:rPr>
          <w:rFonts w:ascii="Times New Roman" w:hAnsi="Times New Roman" w:cs="Times New Roman"/>
          <w:noProof/>
          <w:sz w:val="24"/>
          <w:szCs w:val="24"/>
          <w:lang w:val="en-GB"/>
        </w:rPr>
        <w:t xml:space="preserve"> </w:t>
      </w:r>
      <w:r w:rsidRPr="00F679E4">
        <w:rPr>
          <w:rFonts w:ascii="Times New Roman" w:hAnsi="Times New Roman" w:cs="Times New Roman"/>
          <w:i/>
          <w:iCs/>
          <w:noProof/>
          <w:sz w:val="24"/>
          <w:szCs w:val="24"/>
          <w:lang w:val="en-GB"/>
        </w:rPr>
        <w:t>, 32</w:t>
      </w:r>
      <w:r w:rsidRPr="00F679E4">
        <w:rPr>
          <w:rFonts w:ascii="Times New Roman" w:hAnsi="Times New Roman" w:cs="Times New Roman"/>
          <w:noProof/>
          <w:sz w:val="24"/>
          <w:szCs w:val="24"/>
          <w:lang w:val="en-GB"/>
        </w:rPr>
        <w:t>, 79-99.</w:t>
      </w:r>
    </w:p>
    <w:p w:rsidR="00EA5144" w:rsidRPr="00F679E4" w:rsidRDefault="00EA5144" w:rsidP="00C63A9F">
      <w:pPr>
        <w:pStyle w:val="Bibliografa"/>
        <w:ind w:left="567" w:hanging="567"/>
        <w:rPr>
          <w:rFonts w:ascii="Times New Roman" w:hAnsi="Times New Roman" w:cs="Times New Roman"/>
          <w:noProof/>
          <w:sz w:val="24"/>
          <w:szCs w:val="24"/>
          <w:lang w:val="en-GB"/>
        </w:rPr>
      </w:pPr>
      <w:r w:rsidRPr="00F679E4">
        <w:rPr>
          <w:rFonts w:ascii="Times New Roman" w:hAnsi="Times New Roman" w:cs="Times New Roman"/>
          <w:noProof/>
          <w:sz w:val="24"/>
          <w:szCs w:val="24"/>
          <w:lang w:val="en-GB"/>
        </w:rPr>
        <w:t xml:space="preserve">Gardner, R. A. (1992). </w:t>
      </w:r>
      <w:r w:rsidRPr="00F679E4">
        <w:rPr>
          <w:rFonts w:ascii="Times New Roman" w:hAnsi="Times New Roman" w:cs="Times New Roman"/>
          <w:i/>
          <w:iCs/>
          <w:noProof/>
          <w:sz w:val="24"/>
          <w:szCs w:val="24"/>
          <w:lang w:val="en-GB"/>
        </w:rPr>
        <w:t>True and false accusations of child sex abuse.</w:t>
      </w:r>
      <w:r w:rsidRPr="00F679E4">
        <w:rPr>
          <w:rFonts w:ascii="Times New Roman" w:hAnsi="Times New Roman" w:cs="Times New Roman"/>
          <w:noProof/>
          <w:sz w:val="24"/>
          <w:szCs w:val="24"/>
          <w:lang w:val="en-GB"/>
        </w:rPr>
        <w:t xml:space="preserve"> (Vaccaro Sonia, Trad.)</w:t>
      </w:r>
    </w:p>
    <w:p w:rsidR="005E399C" w:rsidRPr="00F679E4" w:rsidRDefault="005E399C" w:rsidP="004B3989">
      <w:pPr>
        <w:pStyle w:val="Bibliografa"/>
        <w:ind w:left="567" w:hanging="567"/>
        <w:rPr>
          <w:rFonts w:ascii="Times New Roman" w:hAnsi="Times New Roman" w:cs="Times New Roman"/>
          <w:noProof/>
          <w:sz w:val="24"/>
          <w:szCs w:val="24"/>
          <w:lang w:val="en-GB"/>
        </w:rPr>
      </w:pPr>
      <w:r w:rsidRPr="00F679E4">
        <w:rPr>
          <w:rFonts w:ascii="Times New Roman" w:hAnsi="Times New Roman" w:cs="Times New Roman"/>
          <w:noProof/>
          <w:sz w:val="24"/>
          <w:szCs w:val="24"/>
          <w:lang w:val="en-GB"/>
        </w:rPr>
        <w:t xml:space="preserve">Gardner, R. A. (1991). Legal and psychotherapeutic approaches to the three types of parental alienation syndrome families. When psychiatry and the law join forces. </w:t>
      </w:r>
      <w:r w:rsidRPr="00F679E4">
        <w:rPr>
          <w:rFonts w:ascii="Times New Roman" w:hAnsi="Times New Roman" w:cs="Times New Roman"/>
          <w:i/>
          <w:iCs/>
          <w:noProof/>
          <w:sz w:val="24"/>
          <w:szCs w:val="24"/>
          <w:lang w:val="en-GB"/>
        </w:rPr>
        <w:t>Court Review</w:t>
      </w:r>
      <w:r w:rsidRPr="00F679E4">
        <w:rPr>
          <w:rFonts w:ascii="Times New Roman" w:hAnsi="Times New Roman" w:cs="Times New Roman"/>
          <w:noProof/>
          <w:sz w:val="24"/>
          <w:szCs w:val="24"/>
          <w:lang w:val="en-GB"/>
        </w:rPr>
        <w:t xml:space="preserve"> </w:t>
      </w:r>
      <w:r w:rsidRPr="00F679E4">
        <w:rPr>
          <w:rFonts w:ascii="Times New Roman" w:hAnsi="Times New Roman" w:cs="Times New Roman"/>
          <w:i/>
          <w:iCs/>
          <w:noProof/>
          <w:sz w:val="24"/>
          <w:szCs w:val="24"/>
          <w:lang w:val="en-GB"/>
        </w:rPr>
        <w:t>, 28</w:t>
      </w:r>
      <w:r w:rsidRPr="00F679E4">
        <w:rPr>
          <w:rFonts w:ascii="Times New Roman" w:hAnsi="Times New Roman" w:cs="Times New Roman"/>
          <w:noProof/>
          <w:sz w:val="24"/>
          <w:szCs w:val="24"/>
          <w:lang w:val="en-GB"/>
        </w:rPr>
        <w:t xml:space="preserve"> (1), 4-21.</w:t>
      </w:r>
    </w:p>
    <w:p w:rsidR="005E399C" w:rsidRPr="00F679E4" w:rsidRDefault="005E399C" w:rsidP="004B3989">
      <w:pPr>
        <w:pStyle w:val="Bibliografa"/>
        <w:ind w:left="567" w:hanging="567"/>
        <w:rPr>
          <w:rFonts w:ascii="Times New Roman" w:hAnsi="Times New Roman" w:cs="Times New Roman"/>
          <w:noProof/>
          <w:sz w:val="24"/>
          <w:szCs w:val="24"/>
          <w:lang w:val="en-GB"/>
        </w:rPr>
      </w:pPr>
      <w:r w:rsidRPr="00F679E4">
        <w:rPr>
          <w:rFonts w:ascii="Times New Roman" w:hAnsi="Times New Roman" w:cs="Times New Roman"/>
          <w:noProof/>
          <w:sz w:val="24"/>
          <w:szCs w:val="24"/>
          <w:lang w:val="en-GB"/>
        </w:rPr>
        <w:lastRenderedPageBreak/>
        <w:t xml:space="preserve">Hoult, J. (2006). The Evidentiary Admissibility of Parental Alienation Syndrome: Science, Law, and Policy. </w:t>
      </w:r>
      <w:r w:rsidRPr="00F679E4">
        <w:rPr>
          <w:rFonts w:ascii="Times New Roman" w:hAnsi="Times New Roman" w:cs="Times New Roman"/>
          <w:i/>
          <w:iCs/>
          <w:noProof/>
          <w:sz w:val="24"/>
          <w:szCs w:val="24"/>
          <w:lang w:val="en-GB"/>
        </w:rPr>
        <w:t>Children'd Legal Rights Journal</w:t>
      </w:r>
      <w:r w:rsidRPr="00F679E4">
        <w:rPr>
          <w:rFonts w:ascii="Times New Roman" w:hAnsi="Times New Roman" w:cs="Times New Roman"/>
          <w:noProof/>
          <w:sz w:val="24"/>
          <w:szCs w:val="24"/>
          <w:lang w:val="en-GB"/>
        </w:rPr>
        <w:t xml:space="preserve"> </w:t>
      </w:r>
      <w:r w:rsidRPr="00F679E4">
        <w:rPr>
          <w:rFonts w:ascii="Times New Roman" w:hAnsi="Times New Roman" w:cs="Times New Roman"/>
          <w:i/>
          <w:iCs/>
          <w:noProof/>
          <w:sz w:val="24"/>
          <w:szCs w:val="24"/>
          <w:lang w:val="en-GB"/>
        </w:rPr>
        <w:t>, 26</w:t>
      </w:r>
      <w:r w:rsidRPr="00F679E4">
        <w:rPr>
          <w:rFonts w:ascii="Times New Roman" w:hAnsi="Times New Roman" w:cs="Times New Roman"/>
          <w:noProof/>
          <w:sz w:val="24"/>
          <w:szCs w:val="24"/>
          <w:lang w:val="en-GB"/>
        </w:rPr>
        <w:t xml:space="preserve"> (1), 1-2.</w:t>
      </w:r>
      <w:r w:rsidR="00B86E8F" w:rsidRPr="00F679E4">
        <w:rPr>
          <w:rFonts w:ascii="Times New Roman" w:hAnsi="Times New Roman" w:cs="Times New Roman"/>
          <w:noProof/>
          <w:sz w:val="24"/>
          <w:szCs w:val="24"/>
          <w:lang w:val="en-GB"/>
        </w:rPr>
        <w:t xml:space="preserve"> Disponible en </w:t>
      </w:r>
      <w:hyperlink r:id="rId9" w:anchor="search=%22The%20Evidentiary%20Admissibility%20of%20Parental%20Alienation%20Syndrome%3A%20%22" w:history="1">
        <w:r w:rsidR="00B86E8F" w:rsidRPr="00F679E4">
          <w:rPr>
            <w:rStyle w:val="Hipervnculo"/>
            <w:rFonts w:ascii="Times New Roman" w:hAnsi="Times New Roman" w:cs="Times New Roman"/>
            <w:sz w:val="24"/>
            <w:szCs w:val="24"/>
            <w:lang w:val="en-GB"/>
          </w:rPr>
          <w:t>http://www.leadershipcouncil.org/docs/Hoult.pdf#search=%22The%20Evidentiary%20Admissibility%20of%20Parental%20Alienation%20Syndrome%3A%20%22</w:t>
        </w:r>
      </w:hyperlink>
    </w:p>
    <w:p w:rsidR="005E399C" w:rsidRPr="00C96A2D" w:rsidRDefault="002B5E84" w:rsidP="004B3989">
      <w:pPr>
        <w:pStyle w:val="Bibliografa"/>
        <w:ind w:left="567" w:hanging="567"/>
        <w:rPr>
          <w:rFonts w:ascii="Times New Roman" w:hAnsi="Times New Roman" w:cs="Times New Roman"/>
          <w:noProof/>
          <w:sz w:val="24"/>
          <w:szCs w:val="24"/>
          <w:lang w:val="en-GB"/>
        </w:rPr>
      </w:pPr>
      <w:r w:rsidRPr="00F679E4">
        <w:rPr>
          <w:rFonts w:ascii="Times New Roman" w:hAnsi="Times New Roman" w:cs="Times New Roman"/>
          <w:noProof/>
          <w:sz w:val="24"/>
          <w:szCs w:val="24"/>
        </w:rPr>
        <w:t>Profesionales de Medicina y Salud Mental</w:t>
      </w:r>
      <w:r w:rsidR="005E399C" w:rsidRPr="00F679E4">
        <w:rPr>
          <w:rFonts w:ascii="Times New Roman" w:hAnsi="Times New Roman" w:cs="Times New Roman"/>
          <w:noProof/>
          <w:sz w:val="24"/>
          <w:szCs w:val="24"/>
        </w:rPr>
        <w:t xml:space="preserve"> (2007). </w:t>
      </w:r>
      <w:r w:rsidR="005E399C" w:rsidRPr="00F679E4">
        <w:rPr>
          <w:rFonts w:ascii="Times New Roman" w:hAnsi="Times New Roman" w:cs="Times New Roman"/>
          <w:i/>
          <w:iCs/>
          <w:noProof/>
          <w:sz w:val="24"/>
          <w:szCs w:val="24"/>
        </w:rPr>
        <w:t>Profesionales de Medicina y Salud Mental ante el Fenómeno Psicológico-Legal del Pretendido Síndrome de Alienación Parental (SAP).</w:t>
      </w:r>
      <w:r w:rsidR="005E399C" w:rsidRPr="00F679E4">
        <w:rPr>
          <w:rFonts w:ascii="Times New Roman" w:hAnsi="Times New Roman" w:cs="Times New Roman"/>
          <w:noProof/>
          <w:sz w:val="24"/>
          <w:szCs w:val="24"/>
        </w:rPr>
        <w:t xml:space="preserve"> </w:t>
      </w:r>
      <w:r w:rsidR="00A92B82" w:rsidRPr="00C96A2D">
        <w:rPr>
          <w:rFonts w:ascii="Times New Roman" w:hAnsi="Times New Roman" w:cs="Times New Roman"/>
          <w:noProof/>
          <w:sz w:val="24"/>
          <w:szCs w:val="24"/>
          <w:lang w:val="en-GB"/>
        </w:rPr>
        <w:t xml:space="preserve">Disponible en: </w:t>
      </w:r>
      <w:hyperlink r:id="rId10" w:history="1">
        <w:r w:rsidR="00A92B82" w:rsidRPr="00F679E4">
          <w:rPr>
            <w:rStyle w:val="Hipervnculo"/>
            <w:rFonts w:ascii="Times New Roman" w:hAnsi="Times New Roman" w:cs="Times New Roman"/>
            <w:sz w:val="24"/>
            <w:szCs w:val="24"/>
            <w:lang w:val="en-GB"/>
          </w:rPr>
          <w:t>http://firmasmanifiesto.blogspot.com/2007/12/profesionales-de-medicina-y-salud.html</w:t>
        </w:r>
      </w:hyperlink>
    </w:p>
    <w:p w:rsidR="00047873" w:rsidRPr="00F679E4" w:rsidRDefault="00047873" w:rsidP="004B3989">
      <w:pPr>
        <w:pStyle w:val="Bibliografa"/>
        <w:ind w:left="567" w:hanging="567"/>
        <w:rPr>
          <w:rFonts w:ascii="Times New Roman" w:hAnsi="Times New Roman" w:cs="Times New Roman"/>
          <w:noProof/>
          <w:sz w:val="24"/>
          <w:szCs w:val="24"/>
        </w:rPr>
      </w:pPr>
      <w:r w:rsidRPr="00C96A2D">
        <w:rPr>
          <w:rFonts w:ascii="Times New Roman" w:hAnsi="Times New Roman" w:cs="Times New Roman"/>
          <w:noProof/>
          <w:sz w:val="24"/>
          <w:szCs w:val="24"/>
          <w:lang w:val="en-GB"/>
        </w:rPr>
        <w:t xml:space="preserve">Save the Children (2012). </w:t>
      </w:r>
      <w:r w:rsidRPr="00F679E4">
        <w:rPr>
          <w:rFonts w:ascii="Times New Roman" w:hAnsi="Times New Roman" w:cs="Times New Roman"/>
          <w:noProof/>
          <w:sz w:val="24"/>
          <w:szCs w:val="24"/>
        </w:rPr>
        <w:t>La Justicia española frente al abuso sexual infantil en el ámbito familiar. Un análisis de casos a la luz de los estándares internacionales de derechos humanos. 33.</w:t>
      </w:r>
    </w:p>
    <w:sectPr w:rsidR="00047873" w:rsidRPr="00F679E4" w:rsidSect="00C31CB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23D" w:rsidRDefault="00BF023D" w:rsidP="00726A6C">
      <w:r>
        <w:separator/>
      </w:r>
    </w:p>
  </w:endnote>
  <w:endnote w:type="continuationSeparator" w:id="0">
    <w:p w:rsidR="00BF023D" w:rsidRDefault="00BF023D" w:rsidP="0072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23D" w:rsidRDefault="00BF023D" w:rsidP="00726A6C">
      <w:r>
        <w:separator/>
      </w:r>
    </w:p>
  </w:footnote>
  <w:footnote w:type="continuationSeparator" w:id="0">
    <w:p w:rsidR="00BF023D" w:rsidRDefault="00BF023D" w:rsidP="00726A6C">
      <w:r>
        <w:continuationSeparator/>
      </w:r>
    </w:p>
  </w:footnote>
  <w:footnote w:id="1">
    <w:p w:rsidR="00C77DE0" w:rsidRDefault="00C77DE0">
      <w:pPr>
        <w:pStyle w:val="Textonotapie"/>
      </w:pPr>
      <w:r>
        <w:rPr>
          <w:rStyle w:val="Refdenotaalpie"/>
        </w:rPr>
        <w:footnoteRef/>
      </w:r>
      <w:r>
        <w:t xml:space="preserve"> </w:t>
      </w:r>
      <w:r w:rsidR="00443675">
        <w:t xml:space="preserve">Una </w:t>
      </w:r>
      <w:proofErr w:type="spellStart"/>
      <w:r w:rsidR="00443675">
        <w:t>Law</w:t>
      </w:r>
      <w:proofErr w:type="spellEnd"/>
      <w:r w:rsidR="00443675">
        <w:t xml:space="preserve"> </w:t>
      </w:r>
      <w:proofErr w:type="spellStart"/>
      <w:r w:rsidR="00443675">
        <w:t>Guardian</w:t>
      </w:r>
      <w:proofErr w:type="spellEnd"/>
      <w:r w:rsidR="00443675">
        <w:t xml:space="preserve"> es un cargo judicial en USA</w:t>
      </w:r>
      <w:r w:rsidRPr="008D4ADD">
        <w:t xml:space="preserve"> que tiene</w:t>
      </w:r>
      <w:r>
        <w:t xml:space="preserve"> como finalidad representar a los menores de edad, que </w:t>
      </w:r>
      <w:r w:rsidR="00443675">
        <w:t>intenta salvaguardar su interés</w:t>
      </w:r>
      <w:r>
        <w:t xml:space="preserve"> y proporcionar una opinión ecuánime en su nombre.</w:t>
      </w:r>
    </w:p>
  </w:footnote>
  <w:footnote w:id="2">
    <w:p w:rsidR="00D35B14" w:rsidRDefault="00D35B14">
      <w:pPr>
        <w:pStyle w:val="Textonotapie"/>
      </w:pPr>
      <w:r>
        <w:rPr>
          <w:rStyle w:val="Refdenotaalpie"/>
        </w:rPr>
        <w:footnoteRef/>
      </w:r>
      <w:r>
        <w:t xml:space="preserve"> La Constitución </w:t>
      </w:r>
      <w:r w:rsidR="00BC17CA">
        <w:t>e</w:t>
      </w:r>
      <w:r>
        <w:t>spañola</w:t>
      </w:r>
      <w:r w:rsidR="00BC17CA">
        <w:t xml:space="preserve"> de 1978. Título 1. Capítulo segundo</w:t>
      </w:r>
      <w:proofErr w:type="gramStart"/>
      <w:r w:rsidR="00BC17CA">
        <w:t>..</w:t>
      </w:r>
      <w:proofErr w:type="gramEnd"/>
      <w:r w:rsidR="00BC17CA">
        <w:t>Sección 1ª Artículo 24.2</w:t>
      </w:r>
    </w:p>
  </w:footnote>
  <w:footnote w:id="3">
    <w:p w:rsidR="00923903" w:rsidRDefault="00923903" w:rsidP="00923903">
      <w:pPr>
        <w:pStyle w:val="Textonotaalfinal"/>
        <w:jc w:val="both"/>
      </w:pPr>
      <w:r>
        <w:rPr>
          <w:rStyle w:val="Refdenotaalfinal"/>
        </w:rPr>
        <w:footnoteRef/>
      </w:r>
      <w:r>
        <w:t xml:space="preserve"> </w:t>
      </w:r>
      <w:r w:rsidRPr="00F477F0">
        <w:t xml:space="preserve">Audiencia Provincial de </w:t>
      </w:r>
      <w:proofErr w:type="spellStart"/>
      <w:r w:rsidRPr="00F477F0">
        <w:t>Bizkaia</w:t>
      </w:r>
      <w:proofErr w:type="spellEnd"/>
      <w:r w:rsidRPr="00F477F0">
        <w:t xml:space="preserve">. Sección 6ª  </w:t>
      </w:r>
      <w:r>
        <w:t xml:space="preserve">Sentencia  nº </w:t>
      </w:r>
      <w:r w:rsidRPr="00F477F0">
        <w:t>256/08</w:t>
      </w:r>
      <w:r w:rsidR="00804253">
        <w:t xml:space="preserve"> pág</w:t>
      </w:r>
      <w:r w:rsidR="009A2DA7">
        <w:t>.</w:t>
      </w:r>
      <w:r w:rsidR="00804253">
        <w:t xml:space="preserve"> 5</w:t>
      </w:r>
      <w:r w:rsidR="009A2DA7">
        <w:t>.</w:t>
      </w:r>
      <w:r>
        <w:t xml:space="preserve"> Disponible en:</w:t>
      </w:r>
      <w:r w:rsidRPr="000B14E8">
        <w:t xml:space="preserve"> </w:t>
      </w:r>
    </w:p>
    <w:p w:rsidR="00923903" w:rsidRDefault="00B04E41" w:rsidP="00923903">
      <w:pPr>
        <w:pStyle w:val="Textonotapie"/>
      </w:pPr>
      <w:hyperlink r:id="rId1" w:history="1">
        <w:r w:rsidR="00923903" w:rsidRPr="00873AAD">
          <w:rPr>
            <w:rStyle w:val="Hipervnculo"/>
          </w:rPr>
          <w:t>http://www.codigo-civil.org/archives/363</w:t>
        </w:r>
      </w:hyperlink>
      <w:r w:rsidR="00923903">
        <w:t xml:space="preserve"> </w:t>
      </w:r>
    </w:p>
  </w:footnote>
  <w:footnote w:id="4">
    <w:p w:rsidR="009C15F1" w:rsidRDefault="009C15F1">
      <w:pPr>
        <w:pStyle w:val="Textonotapie"/>
      </w:pPr>
      <w:r>
        <w:rPr>
          <w:rStyle w:val="Refdenotaalpie"/>
        </w:rPr>
        <w:footnoteRef/>
      </w:r>
      <w:r>
        <w:t xml:space="preserve"> </w:t>
      </w:r>
      <w:r w:rsidR="00446900">
        <w:t>pág</w:t>
      </w:r>
      <w:r w:rsidR="008E71CD">
        <w:t>.</w:t>
      </w:r>
      <w:r w:rsidR="00446900">
        <w:t xml:space="preserve"> 9 </w:t>
      </w:r>
      <w:r w:rsidR="008E71CD">
        <w:t>en la S</w:t>
      </w:r>
      <w:r>
        <w:t>entencia anteriormente citada</w:t>
      </w:r>
      <w:r w:rsidR="008E71CD">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6A6C"/>
    <w:rsid w:val="00012892"/>
    <w:rsid w:val="000222F5"/>
    <w:rsid w:val="00026D44"/>
    <w:rsid w:val="00027417"/>
    <w:rsid w:val="0003066A"/>
    <w:rsid w:val="00045E6F"/>
    <w:rsid w:val="00047873"/>
    <w:rsid w:val="00051604"/>
    <w:rsid w:val="0005326A"/>
    <w:rsid w:val="000554AA"/>
    <w:rsid w:val="00057D58"/>
    <w:rsid w:val="000618D7"/>
    <w:rsid w:val="0006380F"/>
    <w:rsid w:val="0006569B"/>
    <w:rsid w:val="0006584B"/>
    <w:rsid w:val="00070677"/>
    <w:rsid w:val="00076AF8"/>
    <w:rsid w:val="000803DC"/>
    <w:rsid w:val="000823D5"/>
    <w:rsid w:val="00084A23"/>
    <w:rsid w:val="00084D1B"/>
    <w:rsid w:val="00091C3D"/>
    <w:rsid w:val="000A310C"/>
    <w:rsid w:val="000A4FB0"/>
    <w:rsid w:val="000A597F"/>
    <w:rsid w:val="000A7204"/>
    <w:rsid w:val="000A722B"/>
    <w:rsid w:val="000D08B7"/>
    <w:rsid w:val="000D2107"/>
    <w:rsid w:val="000D3561"/>
    <w:rsid w:val="000E0C0C"/>
    <w:rsid w:val="000E1DF8"/>
    <w:rsid w:val="000E23B9"/>
    <w:rsid w:val="000F149C"/>
    <w:rsid w:val="00110E79"/>
    <w:rsid w:val="001143DF"/>
    <w:rsid w:val="00120386"/>
    <w:rsid w:val="001263FE"/>
    <w:rsid w:val="001360D3"/>
    <w:rsid w:val="00137A9F"/>
    <w:rsid w:val="001462C2"/>
    <w:rsid w:val="00155DC8"/>
    <w:rsid w:val="001573E7"/>
    <w:rsid w:val="00160979"/>
    <w:rsid w:val="00163483"/>
    <w:rsid w:val="00167D03"/>
    <w:rsid w:val="001716BB"/>
    <w:rsid w:val="001735EF"/>
    <w:rsid w:val="00174A97"/>
    <w:rsid w:val="00175883"/>
    <w:rsid w:val="001942A2"/>
    <w:rsid w:val="001964F4"/>
    <w:rsid w:val="001A03E2"/>
    <w:rsid w:val="001D51D9"/>
    <w:rsid w:val="001D6BDE"/>
    <w:rsid w:val="001E04DF"/>
    <w:rsid w:val="001E23EF"/>
    <w:rsid w:val="001E592A"/>
    <w:rsid w:val="001F4EFE"/>
    <w:rsid w:val="001F59C3"/>
    <w:rsid w:val="00200AC0"/>
    <w:rsid w:val="002110FD"/>
    <w:rsid w:val="002136CA"/>
    <w:rsid w:val="0021679C"/>
    <w:rsid w:val="00223D1C"/>
    <w:rsid w:val="00223EA1"/>
    <w:rsid w:val="002254E8"/>
    <w:rsid w:val="00225DF3"/>
    <w:rsid w:val="0023395F"/>
    <w:rsid w:val="00240A76"/>
    <w:rsid w:val="002413B7"/>
    <w:rsid w:val="00243A6B"/>
    <w:rsid w:val="00261FCC"/>
    <w:rsid w:val="00270AC6"/>
    <w:rsid w:val="00274577"/>
    <w:rsid w:val="002769C5"/>
    <w:rsid w:val="00277F2A"/>
    <w:rsid w:val="00280AC3"/>
    <w:rsid w:val="002846A2"/>
    <w:rsid w:val="00294A4E"/>
    <w:rsid w:val="002A33BC"/>
    <w:rsid w:val="002A5341"/>
    <w:rsid w:val="002B5BA3"/>
    <w:rsid w:val="002B5E84"/>
    <w:rsid w:val="002C182B"/>
    <w:rsid w:val="002C7748"/>
    <w:rsid w:val="002D03E0"/>
    <w:rsid w:val="002D4E95"/>
    <w:rsid w:val="002D50CB"/>
    <w:rsid w:val="002D7F48"/>
    <w:rsid w:val="002E1AA9"/>
    <w:rsid w:val="002E3C4E"/>
    <w:rsid w:val="002E4746"/>
    <w:rsid w:val="002E51B5"/>
    <w:rsid w:val="002F2BB7"/>
    <w:rsid w:val="002F7431"/>
    <w:rsid w:val="003048B7"/>
    <w:rsid w:val="00310C89"/>
    <w:rsid w:val="00317C4A"/>
    <w:rsid w:val="00323AF6"/>
    <w:rsid w:val="003260F0"/>
    <w:rsid w:val="00331224"/>
    <w:rsid w:val="0033770B"/>
    <w:rsid w:val="003407C1"/>
    <w:rsid w:val="00343E58"/>
    <w:rsid w:val="00345284"/>
    <w:rsid w:val="00356B1C"/>
    <w:rsid w:val="0035719A"/>
    <w:rsid w:val="00360D58"/>
    <w:rsid w:val="00371168"/>
    <w:rsid w:val="00372AEC"/>
    <w:rsid w:val="00382CDB"/>
    <w:rsid w:val="003833BE"/>
    <w:rsid w:val="003843A2"/>
    <w:rsid w:val="00391A59"/>
    <w:rsid w:val="003960E3"/>
    <w:rsid w:val="00396AD1"/>
    <w:rsid w:val="003B37B5"/>
    <w:rsid w:val="003C03E8"/>
    <w:rsid w:val="003C4DA4"/>
    <w:rsid w:val="003C64BF"/>
    <w:rsid w:val="003D0CD6"/>
    <w:rsid w:val="003D1F4C"/>
    <w:rsid w:val="003D606E"/>
    <w:rsid w:val="003E295B"/>
    <w:rsid w:val="003E6A15"/>
    <w:rsid w:val="00402DBC"/>
    <w:rsid w:val="00406B4C"/>
    <w:rsid w:val="00414292"/>
    <w:rsid w:val="00414349"/>
    <w:rsid w:val="004244CF"/>
    <w:rsid w:val="00443675"/>
    <w:rsid w:val="00443989"/>
    <w:rsid w:val="00443A21"/>
    <w:rsid w:val="00444266"/>
    <w:rsid w:val="00445037"/>
    <w:rsid w:val="0044662C"/>
    <w:rsid w:val="00446900"/>
    <w:rsid w:val="00447F40"/>
    <w:rsid w:val="00447FFB"/>
    <w:rsid w:val="00450B1F"/>
    <w:rsid w:val="004513CE"/>
    <w:rsid w:val="004513E9"/>
    <w:rsid w:val="004570C9"/>
    <w:rsid w:val="004620BF"/>
    <w:rsid w:val="00465E42"/>
    <w:rsid w:val="0046718E"/>
    <w:rsid w:val="004765AC"/>
    <w:rsid w:val="00480B55"/>
    <w:rsid w:val="00485D72"/>
    <w:rsid w:val="00496FFF"/>
    <w:rsid w:val="004A15B8"/>
    <w:rsid w:val="004B0CA5"/>
    <w:rsid w:val="004B3989"/>
    <w:rsid w:val="004B659B"/>
    <w:rsid w:val="004C0E1E"/>
    <w:rsid w:val="004D152B"/>
    <w:rsid w:val="004D7E6D"/>
    <w:rsid w:val="004E5EBD"/>
    <w:rsid w:val="004E78F7"/>
    <w:rsid w:val="004F0F40"/>
    <w:rsid w:val="004F1619"/>
    <w:rsid w:val="004F1F10"/>
    <w:rsid w:val="004F469B"/>
    <w:rsid w:val="004F69D2"/>
    <w:rsid w:val="00503B98"/>
    <w:rsid w:val="0051076A"/>
    <w:rsid w:val="00516816"/>
    <w:rsid w:val="00522BAE"/>
    <w:rsid w:val="0052404D"/>
    <w:rsid w:val="00524C8A"/>
    <w:rsid w:val="00525526"/>
    <w:rsid w:val="00530852"/>
    <w:rsid w:val="005315C7"/>
    <w:rsid w:val="00535607"/>
    <w:rsid w:val="00537687"/>
    <w:rsid w:val="00540320"/>
    <w:rsid w:val="00540722"/>
    <w:rsid w:val="0054150F"/>
    <w:rsid w:val="00544751"/>
    <w:rsid w:val="0054487C"/>
    <w:rsid w:val="00545B8F"/>
    <w:rsid w:val="00550ABC"/>
    <w:rsid w:val="005510EE"/>
    <w:rsid w:val="00552474"/>
    <w:rsid w:val="00552E77"/>
    <w:rsid w:val="00560EC1"/>
    <w:rsid w:val="005645F0"/>
    <w:rsid w:val="00571001"/>
    <w:rsid w:val="005845D0"/>
    <w:rsid w:val="00586DD4"/>
    <w:rsid w:val="00594362"/>
    <w:rsid w:val="00597D50"/>
    <w:rsid w:val="005A5162"/>
    <w:rsid w:val="005A6534"/>
    <w:rsid w:val="005B32B7"/>
    <w:rsid w:val="005C4BE9"/>
    <w:rsid w:val="005C4DCD"/>
    <w:rsid w:val="005C53E2"/>
    <w:rsid w:val="005D034D"/>
    <w:rsid w:val="005D1603"/>
    <w:rsid w:val="005E116F"/>
    <w:rsid w:val="005E25CC"/>
    <w:rsid w:val="005E399C"/>
    <w:rsid w:val="005E417B"/>
    <w:rsid w:val="005F0D67"/>
    <w:rsid w:val="005F2268"/>
    <w:rsid w:val="005F4CF3"/>
    <w:rsid w:val="00601523"/>
    <w:rsid w:val="006025BE"/>
    <w:rsid w:val="006041DA"/>
    <w:rsid w:val="006122DA"/>
    <w:rsid w:val="0061453D"/>
    <w:rsid w:val="006226E6"/>
    <w:rsid w:val="0062314B"/>
    <w:rsid w:val="006249E9"/>
    <w:rsid w:val="00632881"/>
    <w:rsid w:val="006436FD"/>
    <w:rsid w:val="00643C41"/>
    <w:rsid w:val="00652D3B"/>
    <w:rsid w:val="0066141C"/>
    <w:rsid w:val="00661F28"/>
    <w:rsid w:val="006629E3"/>
    <w:rsid w:val="00670198"/>
    <w:rsid w:val="006755B5"/>
    <w:rsid w:val="006844FF"/>
    <w:rsid w:val="00687232"/>
    <w:rsid w:val="0069514E"/>
    <w:rsid w:val="00695D21"/>
    <w:rsid w:val="006A0D68"/>
    <w:rsid w:val="006A29D6"/>
    <w:rsid w:val="006B6A4F"/>
    <w:rsid w:val="006B72C9"/>
    <w:rsid w:val="006C2C77"/>
    <w:rsid w:val="006C3FE6"/>
    <w:rsid w:val="006C57DE"/>
    <w:rsid w:val="006D41CC"/>
    <w:rsid w:val="006E1946"/>
    <w:rsid w:val="006E6AC7"/>
    <w:rsid w:val="00711A34"/>
    <w:rsid w:val="00714037"/>
    <w:rsid w:val="00717E3F"/>
    <w:rsid w:val="00717FB0"/>
    <w:rsid w:val="00723628"/>
    <w:rsid w:val="00726A6C"/>
    <w:rsid w:val="00727191"/>
    <w:rsid w:val="00737F05"/>
    <w:rsid w:val="0074107D"/>
    <w:rsid w:val="007441AA"/>
    <w:rsid w:val="00744BE8"/>
    <w:rsid w:val="00753864"/>
    <w:rsid w:val="00754DAD"/>
    <w:rsid w:val="0076001B"/>
    <w:rsid w:val="00765253"/>
    <w:rsid w:val="007656D3"/>
    <w:rsid w:val="00770427"/>
    <w:rsid w:val="00772B89"/>
    <w:rsid w:val="00783166"/>
    <w:rsid w:val="0079288E"/>
    <w:rsid w:val="007A5596"/>
    <w:rsid w:val="007B6B12"/>
    <w:rsid w:val="007B7889"/>
    <w:rsid w:val="007C1C8E"/>
    <w:rsid w:val="007C6703"/>
    <w:rsid w:val="007D09C4"/>
    <w:rsid w:val="007E5CD9"/>
    <w:rsid w:val="00802DBF"/>
    <w:rsid w:val="008040A0"/>
    <w:rsid w:val="00804253"/>
    <w:rsid w:val="00807EF4"/>
    <w:rsid w:val="00811406"/>
    <w:rsid w:val="00811970"/>
    <w:rsid w:val="00816C6D"/>
    <w:rsid w:val="0081724A"/>
    <w:rsid w:val="0082075A"/>
    <w:rsid w:val="00834E33"/>
    <w:rsid w:val="0083500F"/>
    <w:rsid w:val="00835576"/>
    <w:rsid w:val="00837823"/>
    <w:rsid w:val="00842C69"/>
    <w:rsid w:val="008432B6"/>
    <w:rsid w:val="00843BDB"/>
    <w:rsid w:val="00845605"/>
    <w:rsid w:val="0085035E"/>
    <w:rsid w:val="008529BE"/>
    <w:rsid w:val="00867205"/>
    <w:rsid w:val="00871B6A"/>
    <w:rsid w:val="00875EFC"/>
    <w:rsid w:val="008856F8"/>
    <w:rsid w:val="00887D72"/>
    <w:rsid w:val="0089022F"/>
    <w:rsid w:val="008A51BF"/>
    <w:rsid w:val="008A7DD2"/>
    <w:rsid w:val="008B2AA7"/>
    <w:rsid w:val="008B4E2C"/>
    <w:rsid w:val="008C3200"/>
    <w:rsid w:val="008C3658"/>
    <w:rsid w:val="008D58C5"/>
    <w:rsid w:val="008E49B0"/>
    <w:rsid w:val="008E4BB4"/>
    <w:rsid w:val="008E71CD"/>
    <w:rsid w:val="008F09B4"/>
    <w:rsid w:val="008F34A5"/>
    <w:rsid w:val="009016AB"/>
    <w:rsid w:val="00906E8B"/>
    <w:rsid w:val="00913776"/>
    <w:rsid w:val="00916676"/>
    <w:rsid w:val="00923903"/>
    <w:rsid w:val="00936356"/>
    <w:rsid w:val="00945E8F"/>
    <w:rsid w:val="009466A0"/>
    <w:rsid w:val="00947650"/>
    <w:rsid w:val="00953A30"/>
    <w:rsid w:val="00961575"/>
    <w:rsid w:val="00964BAC"/>
    <w:rsid w:val="009650DE"/>
    <w:rsid w:val="00965A41"/>
    <w:rsid w:val="00967656"/>
    <w:rsid w:val="009800D0"/>
    <w:rsid w:val="0098162D"/>
    <w:rsid w:val="00982321"/>
    <w:rsid w:val="00985F85"/>
    <w:rsid w:val="00992334"/>
    <w:rsid w:val="00995123"/>
    <w:rsid w:val="009A2DA7"/>
    <w:rsid w:val="009A6959"/>
    <w:rsid w:val="009A7287"/>
    <w:rsid w:val="009B3224"/>
    <w:rsid w:val="009B71BB"/>
    <w:rsid w:val="009C15F1"/>
    <w:rsid w:val="009C3A7E"/>
    <w:rsid w:val="009D59E4"/>
    <w:rsid w:val="009E0158"/>
    <w:rsid w:val="009F080F"/>
    <w:rsid w:val="009F2207"/>
    <w:rsid w:val="009F39B7"/>
    <w:rsid w:val="009F6E23"/>
    <w:rsid w:val="00A01879"/>
    <w:rsid w:val="00A0273B"/>
    <w:rsid w:val="00A0659E"/>
    <w:rsid w:val="00A07D91"/>
    <w:rsid w:val="00A1258D"/>
    <w:rsid w:val="00A13620"/>
    <w:rsid w:val="00A213C6"/>
    <w:rsid w:val="00A23CDE"/>
    <w:rsid w:val="00A258EB"/>
    <w:rsid w:val="00A312D2"/>
    <w:rsid w:val="00A350F4"/>
    <w:rsid w:val="00A44035"/>
    <w:rsid w:val="00A54DA3"/>
    <w:rsid w:val="00A55226"/>
    <w:rsid w:val="00A77198"/>
    <w:rsid w:val="00A82E69"/>
    <w:rsid w:val="00A83264"/>
    <w:rsid w:val="00A83468"/>
    <w:rsid w:val="00A92B82"/>
    <w:rsid w:val="00A9391D"/>
    <w:rsid w:val="00A958B6"/>
    <w:rsid w:val="00AA4BD6"/>
    <w:rsid w:val="00AA6D6D"/>
    <w:rsid w:val="00AA792D"/>
    <w:rsid w:val="00AB4028"/>
    <w:rsid w:val="00AB42AC"/>
    <w:rsid w:val="00AB5E81"/>
    <w:rsid w:val="00AB7FAA"/>
    <w:rsid w:val="00AC1D49"/>
    <w:rsid w:val="00AC3BB4"/>
    <w:rsid w:val="00AD0322"/>
    <w:rsid w:val="00AE3E22"/>
    <w:rsid w:val="00AF3D3B"/>
    <w:rsid w:val="00AF4C44"/>
    <w:rsid w:val="00B011B2"/>
    <w:rsid w:val="00B04E41"/>
    <w:rsid w:val="00B0576A"/>
    <w:rsid w:val="00B079E9"/>
    <w:rsid w:val="00B12F7D"/>
    <w:rsid w:val="00B1315D"/>
    <w:rsid w:val="00B166A8"/>
    <w:rsid w:val="00B33B53"/>
    <w:rsid w:val="00B3572C"/>
    <w:rsid w:val="00B3674F"/>
    <w:rsid w:val="00B37077"/>
    <w:rsid w:val="00B4460A"/>
    <w:rsid w:val="00B57119"/>
    <w:rsid w:val="00B60C9C"/>
    <w:rsid w:val="00B629AD"/>
    <w:rsid w:val="00B72C22"/>
    <w:rsid w:val="00B73C75"/>
    <w:rsid w:val="00B76683"/>
    <w:rsid w:val="00B816D4"/>
    <w:rsid w:val="00B86684"/>
    <w:rsid w:val="00B86E8F"/>
    <w:rsid w:val="00B87C69"/>
    <w:rsid w:val="00B90A12"/>
    <w:rsid w:val="00B96EB2"/>
    <w:rsid w:val="00BA2DE4"/>
    <w:rsid w:val="00BA3A57"/>
    <w:rsid w:val="00BB2A6C"/>
    <w:rsid w:val="00BB5E7C"/>
    <w:rsid w:val="00BC17CA"/>
    <w:rsid w:val="00BC4A83"/>
    <w:rsid w:val="00BD6D01"/>
    <w:rsid w:val="00BD6EF4"/>
    <w:rsid w:val="00BE55F2"/>
    <w:rsid w:val="00BE7387"/>
    <w:rsid w:val="00BE7C0B"/>
    <w:rsid w:val="00BF023D"/>
    <w:rsid w:val="00C010F5"/>
    <w:rsid w:val="00C11A0F"/>
    <w:rsid w:val="00C11A87"/>
    <w:rsid w:val="00C13424"/>
    <w:rsid w:val="00C160D1"/>
    <w:rsid w:val="00C24FB9"/>
    <w:rsid w:val="00C26011"/>
    <w:rsid w:val="00C31CB8"/>
    <w:rsid w:val="00C33DFE"/>
    <w:rsid w:val="00C40FDC"/>
    <w:rsid w:val="00C4266F"/>
    <w:rsid w:val="00C43A3F"/>
    <w:rsid w:val="00C63A9F"/>
    <w:rsid w:val="00C718B4"/>
    <w:rsid w:val="00C77DE0"/>
    <w:rsid w:val="00C77E64"/>
    <w:rsid w:val="00C80245"/>
    <w:rsid w:val="00C82E86"/>
    <w:rsid w:val="00C85222"/>
    <w:rsid w:val="00C870DD"/>
    <w:rsid w:val="00C87BEE"/>
    <w:rsid w:val="00C91188"/>
    <w:rsid w:val="00C96A2D"/>
    <w:rsid w:val="00CA254A"/>
    <w:rsid w:val="00CA4860"/>
    <w:rsid w:val="00CD26AA"/>
    <w:rsid w:val="00CD29DE"/>
    <w:rsid w:val="00CD30BA"/>
    <w:rsid w:val="00CD53B5"/>
    <w:rsid w:val="00CD58BD"/>
    <w:rsid w:val="00CE717E"/>
    <w:rsid w:val="00CF3A2A"/>
    <w:rsid w:val="00D003AB"/>
    <w:rsid w:val="00D15D93"/>
    <w:rsid w:val="00D21359"/>
    <w:rsid w:val="00D214B9"/>
    <w:rsid w:val="00D27343"/>
    <w:rsid w:val="00D35B14"/>
    <w:rsid w:val="00D4229B"/>
    <w:rsid w:val="00D426F2"/>
    <w:rsid w:val="00D448BA"/>
    <w:rsid w:val="00D6354B"/>
    <w:rsid w:val="00D71CAB"/>
    <w:rsid w:val="00D832A1"/>
    <w:rsid w:val="00D84E2B"/>
    <w:rsid w:val="00D93D7C"/>
    <w:rsid w:val="00D93ED5"/>
    <w:rsid w:val="00DA14FC"/>
    <w:rsid w:val="00DA59E7"/>
    <w:rsid w:val="00DA6275"/>
    <w:rsid w:val="00DB05FB"/>
    <w:rsid w:val="00DB3753"/>
    <w:rsid w:val="00DB39EF"/>
    <w:rsid w:val="00DB51DB"/>
    <w:rsid w:val="00DC46EF"/>
    <w:rsid w:val="00DD075C"/>
    <w:rsid w:val="00DD67A8"/>
    <w:rsid w:val="00DE2495"/>
    <w:rsid w:val="00DE270A"/>
    <w:rsid w:val="00DE413A"/>
    <w:rsid w:val="00DE44AE"/>
    <w:rsid w:val="00DE4C5D"/>
    <w:rsid w:val="00E02A03"/>
    <w:rsid w:val="00E0390B"/>
    <w:rsid w:val="00E04BD8"/>
    <w:rsid w:val="00E054BA"/>
    <w:rsid w:val="00E065D5"/>
    <w:rsid w:val="00E06A1E"/>
    <w:rsid w:val="00E117DC"/>
    <w:rsid w:val="00E16052"/>
    <w:rsid w:val="00E21762"/>
    <w:rsid w:val="00E26B12"/>
    <w:rsid w:val="00E5053A"/>
    <w:rsid w:val="00E535F6"/>
    <w:rsid w:val="00E624D8"/>
    <w:rsid w:val="00E731B6"/>
    <w:rsid w:val="00E75E99"/>
    <w:rsid w:val="00E77A50"/>
    <w:rsid w:val="00E8476C"/>
    <w:rsid w:val="00E858A4"/>
    <w:rsid w:val="00EA0E1D"/>
    <w:rsid w:val="00EA1FBB"/>
    <w:rsid w:val="00EA5144"/>
    <w:rsid w:val="00EB193E"/>
    <w:rsid w:val="00EB28C0"/>
    <w:rsid w:val="00EB2B67"/>
    <w:rsid w:val="00EB5669"/>
    <w:rsid w:val="00EC41C3"/>
    <w:rsid w:val="00ED0D0E"/>
    <w:rsid w:val="00ED1B8B"/>
    <w:rsid w:val="00EE6F90"/>
    <w:rsid w:val="00EE79FC"/>
    <w:rsid w:val="00EF49DA"/>
    <w:rsid w:val="00F04411"/>
    <w:rsid w:val="00F11402"/>
    <w:rsid w:val="00F125C2"/>
    <w:rsid w:val="00F1608A"/>
    <w:rsid w:val="00F16721"/>
    <w:rsid w:val="00F16E3B"/>
    <w:rsid w:val="00F25C97"/>
    <w:rsid w:val="00F26557"/>
    <w:rsid w:val="00F35539"/>
    <w:rsid w:val="00F42374"/>
    <w:rsid w:val="00F45543"/>
    <w:rsid w:val="00F54579"/>
    <w:rsid w:val="00F65471"/>
    <w:rsid w:val="00F679E4"/>
    <w:rsid w:val="00F73CA8"/>
    <w:rsid w:val="00F775EA"/>
    <w:rsid w:val="00F829A2"/>
    <w:rsid w:val="00F85B58"/>
    <w:rsid w:val="00F8670E"/>
    <w:rsid w:val="00F964C7"/>
    <w:rsid w:val="00FA2E93"/>
    <w:rsid w:val="00FD5C71"/>
    <w:rsid w:val="00FE1A9A"/>
    <w:rsid w:val="00FE4A30"/>
    <w:rsid w:val="00FE7983"/>
    <w:rsid w:val="00FF00E9"/>
    <w:rsid w:val="00FF50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6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26A6C"/>
    <w:rPr>
      <w:color w:val="0000FF"/>
      <w:u w:val="single"/>
    </w:rPr>
  </w:style>
  <w:style w:type="paragraph" w:styleId="Textonotaalfinal">
    <w:name w:val="endnote text"/>
    <w:basedOn w:val="Normal"/>
    <w:link w:val="TextonotaalfinalCar"/>
    <w:uiPriority w:val="99"/>
    <w:unhideWhenUsed/>
    <w:rsid w:val="00726A6C"/>
    <w:rPr>
      <w:sz w:val="20"/>
      <w:szCs w:val="20"/>
    </w:rPr>
  </w:style>
  <w:style w:type="character" w:customStyle="1" w:styleId="TextonotaalfinalCar">
    <w:name w:val="Texto nota al final Car"/>
    <w:basedOn w:val="Fuentedeprrafopredeter"/>
    <w:link w:val="Textonotaalfinal"/>
    <w:uiPriority w:val="99"/>
    <w:rsid w:val="00726A6C"/>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726A6C"/>
    <w:rPr>
      <w:vertAlign w:val="superscript"/>
    </w:rPr>
  </w:style>
  <w:style w:type="character" w:styleId="CitaHTML">
    <w:name w:val="HTML Cite"/>
    <w:basedOn w:val="Fuentedeprrafopredeter"/>
    <w:uiPriority w:val="99"/>
    <w:semiHidden/>
    <w:unhideWhenUsed/>
    <w:rsid w:val="00726A6C"/>
    <w:rPr>
      <w:i w:val="0"/>
      <w:iCs w:val="0"/>
      <w:color w:val="0E774A"/>
    </w:rPr>
  </w:style>
  <w:style w:type="paragraph" w:styleId="Textonotapie">
    <w:name w:val="footnote text"/>
    <w:basedOn w:val="Normal"/>
    <w:link w:val="TextonotapieCar"/>
    <w:uiPriority w:val="99"/>
    <w:semiHidden/>
    <w:unhideWhenUsed/>
    <w:rsid w:val="00051604"/>
    <w:rPr>
      <w:sz w:val="20"/>
      <w:szCs w:val="20"/>
    </w:rPr>
  </w:style>
  <w:style w:type="character" w:customStyle="1" w:styleId="TextonotapieCar">
    <w:name w:val="Texto nota pie Car"/>
    <w:basedOn w:val="Fuentedeprrafopredeter"/>
    <w:link w:val="Textonotapie"/>
    <w:uiPriority w:val="99"/>
    <w:semiHidden/>
    <w:rsid w:val="0005160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51604"/>
    <w:rPr>
      <w:vertAlign w:val="superscript"/>
    </w:rPr>
  </w:style>
  <w:style w:type="paragraph" w:styleId="NormalWeb">
    <w:name w:val="Normal (Web)"/>
    <w:basedOn w:val="Normal"/>
    <w:unhideWhenUsed/>
    <w:rsid w:val="009016AB"/>
    <w:pPr>
      <w:spacing w:before="100" w:beforeAutospacing="1" w:after="100" w:afterAutospacing="1"/>
    </w:pPr>
  </w:style>
  <w:style w:type="paragraph" w:customStyle="1" w:styleId="Default">
    <w:name w:val="Default"/>
    <w:rsid w:val="00936356"/>
    <w:pPr>
      <w:autoSpaceDE w:val="0"/>
      <w:autoSpaceDN w:val="0"/>
      <w:adjustRightInd w:val="0"/>
      <w:spacing w:after="0" w:line="240" w:lineRule="auto"/>
    </w:pPr>
    <w:rPr>
      <w:rFonts w:ascii="Verdana" w:hAnsi="Verdana" w:cs="Verdana"/>
      <w:color w:val="000000"/>
      <w:sz w:val="24"/>
      <w:szCs w:val="24"/>
    </w:rPr>
  </w:style>
  <w:style w:type="character" w:styleId="nfasis">
    <w:name w:val="Emphasis"/>
    <w:basedOn w:val="Fuentedeprrafopredeter"/>
    <w:qFormat/>
    <w:rsid w:val="004D7E6D"/>
    <w:rPr>
      <w:i/>
      <w:iCs/>
    </w:rPr>
  </w:style>
  <w:style w:type="character" w:styleId="Textoennegrita">
    <w:name w:val="Strong"/>
    <w:basedOn w:val="Fuentedeprrafopredeter"/>
    <w:qFormat/>
    <w:rsid w:val="002846A2"/>
    <w:rPr>
      <w:b/>
      <w:bCs/>
    </w:rPr>
  </w:style>
  <w:style w:type="paragraph" w:styleId="Textoindependiente">
    <w:name w:val="Body Text"/>
    <w:basedOn w:val="Normal"/>
    <w:link w:val="TextoindependienteCar"/>
    <w:rsid w:val="002254E8"/>
    <w:pPr>
      <w:spacing w:after="120"/>
    </w:pPr>
    <w:rPr>
      <w:lang w:val="en-GB"/>
    </w:rPr>
  </w:style>
  <w:style w:type="character" w:customStyle="1" w:styleId="TextoindependienteCar">
    <w:name w:val="Texto independiente Car"/>
    <w:basedOn w:val="Fuentedeprrafopredeter"/>
    <w:link w:val="Textoindependiente"/>
    <w:rsid w:val="002254E8"/>
    <w:rPr>
      <w:rFonts w:ascii="Times New Roman" w:eastAsia="Times New Roman" w:hAnsi="Times New Roman" w:cs="Times New Roman"/>
      <w:sz w:val="24"/>
      <w:szCs w:val="24"/>
      <w:lang w:val="en-GB" w:eastAsia="es-ES"/>
    </w:rPr>
  </w:style>
  <w:style w:type="paragraph" w:customStyle="1" w:styleId="Pa0">
    <w:name w:val="Pa0"/>
    <w:basedOn w:val="Default"/>
    <w:next w:val="Default"/>
    <w:uiPriority w:val="99"/>
    <w:rsid w:val="00522BAE"/>
    <w:pPr>
      <w:spacing w:line="241" w:lineRule="atLeast"/>
    </w:pPr>
    <w:rPr>
      <w:rFonts w:ascii="Gill Sans Std Light" w:hAnsi="Gill Sans Std Light" w:cstheme="minorBidi"/>
      <w:color w:val="auto"/>
    </w:rPr>
  </w:style>
  <w:style w:type="character" w:customStyle="1" w:styleId="A0">
    <w:name w:val="A0"/>
    <w:uiPriority w:val="99"/>
    <w:rsid w:val="00522BAE"/>
    <w:rPr>
      <w:rFonts w:cs="Gill Sans Std Light"/>
      <w:color w:val="000000"/>
      <w:sz w:val="60"/>
      <w:szCs w:val="60"/>
    </w:rPr>
  </w:style>
  <w:style w:type="character" w:customStyle="1" w:styleId="A1">
    <w:name w:val="A1"/>
    <w:uiPriority w:val="99"/>
    <w:rsid w:val="00522BAE"/>
    <w:rPr>
      <w:rFonts w:cs="Gill Sans Std Light"/>
      <w:color w:val="000000"/>
      <w:sz w:val="36"/>
      <w:szCs w:val="36"/>
    </w:rPr>
  </w:style>
  <w:style w:type="paragraph" w:styleId="Encabezado">
    <w:name w:val="header"/>
    <w:basedOn w:val="Normal"/>
    <w:link w:val="EncabezadoCar"/>
    <w:uiPriority w:val="99"/>
    <w:semiHidden/>
    <w:unhideWhenUsed/>
    <w:rsid w:val="002A5341"/>
    <w:pPr>
      <w:tabs>
        <w:tab w:val="center" w:pos="4252"/>
        <w:tab w:val="right" w:pos="8504"/>
      </w:tabs>
    </w:pPr>
  </w:style>
  <w:style w:type="character" w:customStyle="1" w:styleId="EncabezadoCar">
    <w:name w:val="Encabezado Car"/>
    <w:basedOn w:val="Fuentedeprrafopredeter"/>
    <w:link w:val="Encabezado"/>
    <w:uiPriority w:val="99"/>
    <w:semiHidden/>
    <w:rsid w:val="002A534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2A5341"/>
    <w:pPr>
      <w:tabs>
        <w:tab w:val="center" w:pos="4252"/>
        <w:tab w:val="right" w:pos="8504"/>
      </w:tabs>
    </w:pPr>
  </w:style>
  <w:style w:type="character" w:customStyle="1" w:styleId="PiedepginaCar">
    <w:name w:val="Pie de página Car"/>
    <w:basedOn w:val="Fuentedeprrafopredeter"/>
    <w:link w:val="Piedepgina"/>
    <w:uiPriority w:val="99"/>
    <w:semiHidden/>
    <w:rsid w:val="002A5341"/>
    <w:rPr>
      <w:rFonts w:ascii="Times New Roman" w:eastAsia="Times New Roman" w:hAnsi="Times New Roman" w:cs="Times New Roman"/>
      <w:sz w:val="24"/>
      <w:szCs w:val="24"/>
      <w:lang w:eastAsia="es-ES"/>
    </w:rPr>
  </w:style>
  <w:style w:type="paragraph" w:styleId="Bibliografa">
    <w:name w:val="Bibliography"/>
    <w:basedOn w:val="Normal"/>
    <w:next w:val="Normal"/>
    <w:uiPriority w:val="37"/>
    <w:unhideWhenUsed/>
    <w:rsid w:val="005E399C"/>
    <w:pPr>
      <w:spacing w:after="200" w:line="276" w:lineRule="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20871349">
      <w:bodyDiv w:val="1"/>
      <w:marLeft w:val="0"/>
      <w:marRight w:val="0"/>
      <w:marTop w:val="0"/>
      <w:marBottom w:val="0"/>
      <w:divBdr>
        <w:top w:val="none" w:sz="0" w:space="0" w:color="auto"/>
        <w:left w:val="none" w:sz="0" w:space="0" w:color="auto"/>
        <w:bottom w:val="none" w:sz="0" w:space="0" w:color="auto"/>
        <w:right w:val="none" w:sz="0" w:space="0" w:color="auto"/>
      </w:divBdr>
    </w:div>
    <w:div w:id="837888306">
      <w:bodyDiv w:val="1"/>
      <w:marLeft w:val="0"/>
      <w:marRight w:val="0"/>
      <w:marTop w:val="0"/>
      <w:marBottom w:val="0"/>
      <w:divBdr>
        <w:top w:val="none" w:sz="0" w:space="0" w:color="auto"/>
        <w:left w:val="none" w:sz="0" w:space="0" w:color="auto"/>
        <w:bottom w:val="none" w:sz="0" w:space="0" w:color="auto"/>
        <w:right w:val="none" w:sz="0" w:space="0" w:color="auto"/>
      </w:divBdr>
    </w:div>
    <w:div w:id="1419063636">
      <w:bodyDiv w:val="1"/>
      <w:marLeft w:val="0"/>
      <w:marRight w:val="0"/>
      <w:marTop w:val="0"/>
      <w:marBottom w:val="0"/>
      <w:divBdr>
        <w:top w:val="none" w:sz="0" w:space="0" w:color="auto"/>
        <w:left w:val="none" w:sz="0" w:space="0" w:color="auto"/>
        <w:bottom w:val="none" w:sz="0" w:space="0" w:color="auto"/>
        <w:right w:val="none" w:sz="0" w:space="0" w:color="auto"/>
      </w:divBdr>
    </w:div>
    <w:div w:id="16420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igo-civil.org/archives/363" TargetMode="External"/><Relationship Id="rId3" Type="http://schemas.openxmlformats.org/officeDocument/2006/relationships/settings" Target="settings.xml"/><Relationship Id="rId7" Type="http://schemas.openxmlformats.org/officeDocument/2006/relationships/hyperlink" Target="http://www.observatorioviolencia.org/.../DOC1273742537_Pronunciamiento_SAP_A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irmasmanifiesto.blogspot.com/2007/12/profesionales-de-medicina-y-salud.html" TargetMode="External"/><Relationship Id="rId4" Type="http://schemas.openxmlformats.org/officeDocument/2006/relationships/webSettings" Target="webSettings.xml"/><Relationship Id="rId9" Type="http://schemas.openxmlformats.org/officeDocument/2006/relationships/hyperlink" Target="http://www.leadershipcouncil.org/docs/Houl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digo-civil.org/archives/3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Agu04</b:Tag>
    <b:SourceType>Book</b:SourceType>
    <b:Guid>{DD696D8F-1B5D-44F7-93BC-2CCA0708100B}</b:Guid>
    <b:LCID>0</b:LCID>
    <b:Author>
      <b:Author>
        <b:NameList>
          <b:Person>
            <b:Last>Aguilar Cuenca</b:Last>
            <b:First>J.</b:First>
            <b:Middle>M.</b:Middle>
          </b:Person>
        </b:NameList>
      </b:Author>
    </b:Author>
    <b:Title>S.A.P. Síndrome de Alienación Parental, Hijos manipulados por un cónyuge para odiar a otro</b:Title>
    <b:Year>2004</b:Year>
    <b:City>Córdoba</b:City>
    <b:Publisher>Almuzara</b:Publisher>
    <b:RefOrder>1</b:RefOrder>
  </b:Source>
  <b:Source>
    <b:Tag>Gar91</b:Tag>
    <b:SourceType>JournalArticle</b:SourceType>
    <b:Guid>{6A868892-E69A-4231-A520-1C3918A4E323}</b:Guid>
    <b:LCID>0</b:LCID>
    <b:Author>
      <b:Author>
        <b:NameList>
          <b:Person>
            <b:Last>Gardner</b:Last>
            <b:First>Richard</b:First>
            <b:Middle>A.</b:Middle>
          </b:Person>
        </b:NameList>
      </b:Author>
    </b:Author>
    <b:Title>Legal and psychotherapeutic approaches to the three types of parental alienation syndrome families. When psychiatry and the law join forces</b:Title>
    <b:Year>1991</b:Year>
    <b:JournalName>Court Review</b:JournalName>
    <b:Pages>4-21</b:Pages>
    <b:Volume>28</b:Volume>
    <b:Issue>1</b:Issue>
    <b:RefOrder>2</b:RefOrder>
  </b:Source>
  <b:Source>
    <b:Tag>AEN08</b:Tag>
    <b:SourceType>InternetSite</b:SourceType>
    <b:Guid>{3E792093-8625-439E-86D2-42B2CDC88742}</b:Guid>
    <b:LCID>0</b:LCID>
    <b:Author>
      <b:Author>
        <b:NameList>
          <b:Person>
            <b:Last>AEN</b:Last>
            <b:First>Documento</b:First>
            <b:Middle>de la</b:Middle>
          </b:Person>
        </b:NameList>
      </b:Author>
    </b:Author>
    <b:Title>La construcción teorica del Sindrome de alienación Parental de Gardner (SAP) como base para cambios judiciales de custodia de menores. Análisis sobre su soporte científico y riesgos de aplicación</b:Title>
    <b:JournalName>Asociación Española de Neuro Psiquiatría</b:JournalName>
    <b:Year>2008</b:Year>
    <b:Month>III</b:Month>
    <b:Day>26</b:Day>
    <b:URL>www.observatorioviolencia.org/.../DOC1273742537_Pronunciamiento_SAP_AEN.pdf</b:URL>
    <b:RefOrder>3</b:RefOrder>
  </b:Source>
  <b:Source>
    <b:Tag>Jud15</b:Tag>
    <b:SourceType>Report</b:SourceType>
    <b:Guid>{D5DE1BD6-8461-445F-BE1C-66BAC4C0E8BF}</b:Guid>
    <b:LCID>0</b:LCID>
    <b:Author>
      <b:Author>
        <b:NameList>
          <b:Person>
            <b:Last>Judicial</b:Last>
            <b:First>Consejo</b:First>
            <b:Middle>General del Poder</b:Middle>
          </b:Person>
        </b:NameList>
      </b:Author>
    </b:Author>
    <b:Title>Violencia sobre la mujer. Año 2014. Datos de denuncias, procedimientos penales y civiles registrados, órdenes de protección, solicitadas en los juzgados de Violencia sobre la Mujer (JVM) y sentencias dictadas por los organismos jurisdiccionales</b:Title>
    <b:Year>2015</b:Year>
    <b:ShortTitle>Violencia sobre la mujer. Año 2014</b:ShortTitle>
    <b:RefOrder>4</b:RefOrder>
  </b:Source>
  <b:Source>
    <b:Tag>Est09</b:Tag>
    <b:SourceType>Misc</b:SourceType>
    <b:Guid>{F58A5ADE-0FBB-4953-9FBE-E4399D889A30}</b:Guid>
    <b:LCID>0</b:LCID>
    <b:Author>
      <b:Author>
        <b:NameList>
          <b:Person>
            <b:Last>Estado</b:Last>
            <b:First>Fiscalía</b:First>
            <b:Middle>General del</b:Middle>
          </b:Person>
        </b:NameList>
      </b:Author>
    </b:Author>
    <b:Title>Circular 3/2009</b:Title>
    <b:Year>2009</b:Year>
    <b:Pages>61</b:Pages>
    <b:RefOrder>5</b:RefOrder>
  </b:Source>
  <b:Source>
    <b:Tag>Jud16</b:Tag>
    <b:SourceType>DocumentFromInternetSite</b:SourceType>
    <b:Guid>{F0E46909-F8B4-402F-89CF-DC54D373AAB5}</b:Guid>
    <b:LCID>0</b:LCID>
    <b:Author>
      <b:Author>
        <b:NameList>
          <b:Person>
            <b:Last>Judicial</b:Last>
            <b:First>Comunicación</b:First>
            <b:Middle>del Poder</b:Middle>
          </b:Person>
        </b:NameList>
      </b:Author>
    </b:Author>
    <b:Title>El Tribunal Supremo constata que la proporción de falsos relatos de abuso sexual infantil por parte de las víctimas es muy reducida</b:Title>
    <b:Year>2016</b:Year>
    <b:URL>http://www.poderjudicial.es/cgpj/es/Poder-Judicial/Noticias-Judiciales/El-Tribunal-Supremo-constata-que-la-proporcion-de-falsos-relatos-de-abuso-sexual-infantil-por-parte-de-las-victimas-es-muy-reducida</b:URL>
    <b:RefOrder>6</b:RefOrder>
  </b:Source>
  <b:Source>
    <b:Tag>Sav12</b:Tag>
    <b:SourceType>JournalArticle</b:SourceType>
    <b:Guid>{89FE1E61-56DB-436B-894D-2587C6A0EFFB}</b:Guid>
    <b:LCID>0</b:LCID>
    <b:Author>
      <b:Author>
        <b:NameList>
          <b:Person>
            <b:Last>Children</b:Last>
            <b:First>Save</b:First>
            <b:Middle>the</b:Middle>
          </b:Person>
        </b:NameList>
      </b:Author>
    </b:Author>
    <b:Title>La Justicia española frente al abuso sexual infantil en el ámbito familiar. Un análisis de casos a la luz de los estándares internacionales de derechos humanos</b:Title>
    <b:Year>2012</b:Year>
    <b:Pages>33</b:Pages>
    <b:RefOrder>7</b:RefOrder>
  </b:Source>
  <b:Source>
    <b:Tag>Hou06</b:Tag>
    <b:SourceType>JournalArticle</b:SourceType>
    <b:Guid>{B1D2C7FF-5AB4-43A0-BB7A-531D0ADDCBAE}</b:Guid>
    <b:LCID>0</b:LCID>
    <b:Author>
      <b:Author>
        <b:NameList>
          <b:Person>
            <b:Last>Hoult</b:Last>
            <b:First>Jennifer</b:First>
          </b:Person>
        </b:NameList>
      </b:Author>
    </b:Author>
    <b:Title>The Evidentiary Admissibility of Parental Alienation Syndrome: Science, Law,  and Policy</b:Title>
    <b:JournalName>Children'd Legal Rights Journal</b:JournalName>
    <b:Year>2006</b:Year>
    <b:Pages>1-2</b:Pages>
    <b:Volume>26</b:Volume>
    <b:Issue>1</b:Issue>
    <b:RefOrder>8</b:RefOrder>
  </b:Source>
  <b:Source>
    <b:Tag>Pro07</b:Tag>
    <b:SourceType>Report</b:SourceType>
    <b:Guid>{3221A419-CA56-44A3-A13B-43DCA6E862E2}</b:Guid>
    <b:LCID>0</b:LCID>
    <b:Author>
      <b:Author>
        <b:NameList>
          <b:Person>
            <b:Last>Mental</b:Last>
            <b:First>Profesionales</b:First>
            <b:Middle>de Medicina y Salud</b:Middle>
          </b:Person>
        </b:NameList>
      </b:Author>
    </b:Author>
    <b:Title>Profesionales de Medicina y Salud Mental ante el Fenómeno Psicológico-Legal del Pretendido Síndrome de Alienación Parental (SAP)</b:Title>
    <b:Year>2007</b:Year>
    <b:RefOrder>9</b:RefOrder>
  </b:Source>
  <b:Source>
    <b:Tag>Gar04</b:Tag>
    <b:SourceType>JournalArticle</b:SourceType>
    <b:Guid>{B1418488-7F88-4A2C-9AFB-388B22E7983F}</b:Guid>
    <b:LCID>0</b:LCID>
    <b:Author>
      <b:Author>
        <b:NameList>
          <b:Person>
            <b:Last>Gardner</b:Last>
            <b:First>Richard</b:First>
            <b:Middle>A.</b:Middle>
          </b:Person>
        </b:NameList>
      </b:Author>
    </b:Author>
    <b:Title>The relationship between the Parental Alienation Syndrome (PAS) and the False Memory Syndrome (FMS)</b:Title>
    <b:Year>2004</b:Year>
    <b:JournalName>The American Journal of Family Therapy</b:JournalName>
    <b:Pages>79-99</b:Pages>
    <b:Volume>32</b:Volume>
    <b:RefOrder>10</b:RefOrder>
  </b:Source>
  <b:Source>
    <b:Tag>Aso10</b:Tag>
    <b:SourceType>JournalArticle</b:SourceType>
    <b:Guid>{9CF9E2FB-E796-40D8-A54E-2C1F6E96AF12}</b:Guid>
    <b:LCID>0</b:LCID>
    <b:Author>
      <b:Author>
        <b:NameList>
          <b:Person>
            <b:Last>Psiquiatría</b:Last>
            <b:First>Asociación</b:First>
            <b:Middle>Española de Neuro</b:Middle>
          </b:Person>
        </b:NameList>
      </b:Author>
    </b:Author>
    <b:Title>La Asociación Española de Neuropsiquiatría hace la siguiente declaración en contra del uso clínico y legal del llamado Síndrome de Alienación Parental</b:Title>
    <b:JournalName>AEN</b:JournalName>
    <b:Year>2010</b:Year>
    <b:Pages>2</b:Pages>
    <b:RefOrder>11</b:RefOrder>
  </b:Source>
  <b:Source>
    <b:Tag>Aso08</b:Tag>
    <b:SourceType>JournalArticle</b:SourceType>
    <b:Guid>{7D1DD5CF-2955-4C7C-B460-8C54B82541F2}</b:Guid>
    <b:LCID>0</b:LCID>
    <b:Author>
      <b:Author>
        <b:NameList>
          <b:Person>
            <b:Last>Psiquiatría</b:Last>
            <b:First>Asociación</b:First>
            <b:Middle>Española de Neuro</b:Middle>
          </b:Person>
        </b:NameList>
      </b:Author>
    </b:Author>
    <b:Title>La construcción teórica del Síndrome de alienación Parental de Gardner (SAP) como base para cambios judiciales de custodia de menores. Análisis sobre su soporte científico y riesgos de aplicación</b:Title>
    <b:JournalName>AEN</b:JournalName>
    <b:Year>2008</b:Year>
    <b:Pages>58</b:Pages>
    <b:RefOrder>12</b:RefOrder>
  </b:Source>
  <b:Source>
    <b:Tag>Gar92</b:Tag>
    <b:SourceType>Book</b:SourceType>
    <b:Guid>{90702BE2-8A12-4BF4-BF55-F892F3A693CF}</b:Guid>
    <b:LCID>0</b:LCID>
    <b:Author>
      <b:Author>
        <b:NameList>
          <b:Person>
            <b:Last>Gardner</b:Last>
            <b:First>Richard</b:First>
            <b:Middle>A.</b:Middle>
          </b:Person>
        </b:NameList>
      </b:Author>
      <b:Translator>
        <b:NameList>
          <b:Person>
            <b:Last>Sonia</b:Last>
            <b:First>Vaccaro</b:First>
          </b:Person>
        </b:NameList>
      </b:Translator>
    </b:Author>
    <b:Title>True and false accusations of child sex abuse</b:Title>
    <b:Year>1992</b:Year>
    <b:ShortTitle>Verdaderas y Falsas Acusaciones de Abuso Sexual Infantil</b:ShortTitle>
    <b:RefOrder>13</b:RefOrder>
  </b:Source>
  <b:Source>
    <b:Tag>Sec08</b:Tag>
    <b:SourceType>Case</b:SourceType>
    <b:Guid>{B9BD182F-A9E5-476E-9E72-51244D1C9B24}</b:Guid>
    <b:LCID>0</b:LCID>
    <b:Title>Sección 6ª</b:Title>
    <b:Year>2008</b:Year>
    <b:CaseNumber>Sentencia nº 256/08</b:CaseNumber>
    <b:Court>Audiencia Provincial de Bizkaia</b:Court>
    <b:RefOrder>14</b:RefOrder>
  </b:Source>
  <b:Source>
    <b:Tag>Jud08</b:Tag>
    <b:SourceType>DocumentFromInternetSite</b:SourceType>
    <b:Guid>{84BFEA1C-18D0-4BF5-ABA3-996C5B987FE9}</b:Guid>
    <b:LCID>0</b:LCID>
    <b:Title>Guía de criterios de actuación judicial frente a la violencia de género</b:Title>
    <b:Year>2008</b:Year>
    <b:Author>
      <b:Author>
        <b:NameList>
          <b:Person>
            <b:Last>Judicial</b:Last>
            <b:First>Consejo</b:First>
            <b:Middle>General del Poder</b:Middle>
          </b:Person>
        </b:NameList>
      </b:Author>
    </b:Author>
    <b:InternetSiteTitle>Malos Tratos. org</b:InternetSiteTitle>
    <b:URL>www.malostratos.org/images/pdf/08%20GUIA%20JUDICIAL.pdf</b:URL>
    <b:RefOrder>15</b:RefOrder>
  </b:Source>
</b:Sources>
</file>

<file path=customXml/itemProps1.xml><?xml version="1.0" encoding="utf-8"?>
<ds:datastoreItem xmlns:ds="http://schemas.openxmlformats.org/officeDocument/2006/customXml" ds:itemID="{28A470F6-92E8-4E24-94D5-EB419605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5472</Words>
  <Characters>30101</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Lopo Díez</dc:creator>
  <cp:lastModifiedBy>Julia Lopo Díez</cp:lastModifiedBy>
  <cp:revision>5</cp:revision>
  <dcterms:created xsi:type="dcterms:W3CDTF">2016-08-31T10:19:00Z</dcterms:created>
  <dcterms:modified xsi:type="dcterms:W3CDTF">2016-08-31T11:25:00Z</dcterms:modified>
</cp:coreProperties>
</file>